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FF220" w14:textId="0EAB982E" w:rsidR="00BD61C8" w:rsidRDefault="00BD61C8" w:rsidP="00BD61C8">
      <w:pPr>
        <w:pStyle w:val="3GPPHeader"/>
        <w:spacing w:after="60"/>
        <w:rPr>
          <w:sz w:val="36"/>
          <w:szCs w:val="32"/>
        </w:rPr>
      </w:pPr>
      <w:bookmarkStart w:id="0" w:name="_Hlk489849714"/>
      <w:r>
        <w:rPr>
          <w:sz w:val="28"/>
        </w:rPr>
        <w:t>3GPP TSG-RAN WG2 #99</w:t>
      </w:r>
      <w:r>
        <w:rPr>
          <w:sz w:val="28"/>
        </w:rPr>
        <w:tab/>
        <w:t xml:space="preserve">Tdoc </w:t>
      </w:r>
      <w:r w:rsidR="006C42D8" w:rsidRPr="006C42D8">
        <w:rPr>
          <w:sz w:val="28"/>
        </w:rPr>
        <w:t>R2-1708584</w:t>
      </w:r>
    </w:p>
    <w:p w14:paraId="59B8892B" w14:textId="18E506CE" w:rsidR="00BD61C8" w:rsidRDefault="00BD61C8" w:rsidP="00BD61C8">
      <w:pPr>
        <w:pStyle w:val="3GPPHeader"/>
        <w:rPr>
          <w:lang w:val="en-US"/>
        </w:rPr>
      </w:pPr>
      <w:r>
        <w:t>Berlin, Germany, August 21-25, 2017</w:t>
      </w:r>
      <w:r>
        <w:tab/>
      </w:r>
    </w:p>
    <w:p w14:paraId="177324C5" w14:textId="77777777" w:rsidR="00BD61C8" w:rsidRDefault="00BD61C8" w:rsidP="00BD61C8">
      <w:pPr>
        <w:pStyle w:val="3GPPHeader"/>
        <w:rPr>
          <w:sz w:val="22"/>
          <w:szCs w:val="22"/>
          <w:lang w:val="en-US"/>
        </w:rPr>
      </w:pPr>
    </w:p>
    <w:p w14:paraId="37564D7E" w14:textId="3F52630C" w:rsidR="00BD61C8" w:rsidRDefault="00BD61C8" w:rsidP="00BD61C8">
      <w:pPr>
        <w:pStyle w:val="3GPPHeader"/>
        <w:rPr>
          <w:sz w:val="22"/>
          <w:szCs w:val="22"/>
          <w:lang w:val="en-US"/>
        </w:rPr>
      </w:pPr>
      <w:r>
        <w:rPr>
          <w:sz w:val="22"/>
          <w:szCs w:val="22"/>
          <w:lang w:val="en-US"/>
        </w:rPr>
        <w:t>Agenda Item:</w:t>
      </w:r>
      <w:r>
        <w:rPr>
          <w:sz w:val="22"/>
          <w:szCs w:val="22"/>
          <w:lang w:val="en-US"/>
        </w:rPr>
        <w:tab/>
      </w:r>
      <w:r w:rsidR="006C42D8">
        <w:rPr>
          <w:sz w:val="22"/>
          <w:szCs w:val="22"/>
          <w:lang w:val="en-US"/>
        </w:rPr>
        <w:t>10.4.1.4.2</w:t>
      </w:r>
    </w:p>
    <w:p w14:paraId="65BFEB30" w14:textId="45D815F8" w:rsidR="00C91A48" w:rsidRPr="00CE0424" w:rsidRDefault="00C91A48" w:rsidP="00C91A48">
      <w:pPr>
        <w:pStyle w:val="3GPPHeader"/>
        <w:rPr>
          <w:sz w:val="22"/>
          <w:szCs w:val="22"/>
        </w:rPr>
      </w:pPr>
      <w:r>
        <w:rPr>
          <w:sz w:val="22"/>
          <w:szCs w:val="22"/>
        </w:rPr>
        <w:t>Source:</w:t>
      </w:r>
      <w:r w:rsidRPr="00CE0424">
        <w:rPr>
          <w:sz w:val="22"/>
          <w:szCs w:val="22"/>
        </w:rPr>
        <w:tab/>
        <w:t>Ericsson</w:t>
      </w:r>
    </w:p>
    <w:bookmarkEnd w:id="0"/>
    <w:p w14:paraId="431D1223" w14:textId="2F6A8534" w:rsidR="009773BB" w:rsidRPr="00CE0424" w:rsidRDefault="00C91A48" w:rsidP="00C91A48">
      <w:pPr>
        <w:pStyle w:val="3GPPHeader"/>
        <w:rPr>
          <w:sz w:val="22"/>
          <w:szCs w:val="22"/>
        </w:rPr>
      </w:pPr>
      <w:r>
        <w:rPr>
          <w:sz w:val="22"/>
          <w:szCs w:val="22"/>
        </w:rPr>
        <w:t>Title:</w:t>
      </w:r>
      <w:r w:rsidRPr="00CE0424">
        <w:rPr>
          <w:sz w:val="22"/>
          <w:szCs w:val="22"/>
        </w:rPr>
        <w:tab/>
      </w:r>
      <w:r w:rsidR="00ED7EE6">
        <w:rPr>
          <w:sz w:val="22"/>
          <w:szCs w:val="22"/>
        </w:rPr>
        <w:t xml:space="preserve">Selection of </w:t>
      </w:r>
      <w:r w:rsidR="009F5058">
        <w:rPr>
          <w:sz w:val="22"/>
          <w:szCs w:val="22"/>
        </w:rPr>
        <w:t xml:space="preserve">cells and </w:t>
      </w:r>
      <w:r w:rsidR="00ED7EE6">
        <w:rPr>
          <w:sz w:val="22"/>
          <w:szCs w:val="22"/>
        </w:rPr>
        <w:t>beams to be included in the measurement report</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CAA6509" w14:textId="5B27EEC3" w:rsidR="00AC4AB6" w:rsidRDefault="00AC4AB6" w:rsidP="00AC4AB6">
      <w:pPr>
        <w:pStyle w:val="TOC1"/>
        <w:ind w:left="0" w:firstLine="0"/>
        <w:jc w:val="both"/>
        <w:rPr>
          <w:rFonts w:cs="Arial"/>
          <w:b w:val="0"/>
          <w:kern w:val="2"/>
          <w:szCs w:val="20"/>
        </w:rPr>
      </w:pPr>
      <w:r>
        <w:rPr>
          <w:rFonts w:cs="Arial"/>
          <w:b w:val="0"/>
          <w:kern w:val="2"/>
          <w:szCs w:val="20"/>
        </w:rPr>
        <w:t xml:space="preserve">It has been agreed that the PCell, SCell and cells in the </w:t>
      </w:r>
      <w:r w:rsidRPr="009F5058">
        <w:rPr>
          <w:rFonts w:cs="Arial"/>
          <w:b w:val="0"/>
          <w:i/>
          <w:kern w:val="2"/>
          <w:szCs w:val="20"/>
        </w:rPr>
        <w:t>cellsTriggeredList</w:t>
      </w:r>
      <w:r>
        <w:rPr>
          <w:rFonts w:cs="Arial"/>
          <w:b w:val="0"/>
          <w:kern w:val="2"/>
          <w:szCs w:val="20"/>
        </w:rPr>
        <w:t xml:space="preserve"> are included in the measurement report.</w:t>
      </w:r>
    </w:p>
    <w:p w14:paraId="6FF2EDFF" w14:textId="77777777" w:rsidR="00AC4AB6" w:rsidRDefault="00AC4AB6" w:rsidP="00AC4AB6">
      <w:pPr>
        <w:pStyle w:val="Doc-text2"/>
        <w:pBdr>
          <w:top w:val="single" w:sz="4" w:space="1" w:color="auto"/>
          <w:left w:val="single" w:sz="4" w:space="4" w:color="auto"/>
          <w:bottom w:val="single" w:sz="4" w:space="1" w:color="auto"/>
          <w:right w:val="single" w:sz="4" w:space="4" w:color="auto"/>
        </w:pBdr>
      </w:pPr>
      <w:r>
        <w:t>5: For event triggered reporting:</w:t>
      </w:r>
    </w:p>
    <w:p w14:paraId="55A146C6" w14:textId="77777777" w:rsidR="00AC4AB6" w:rsidRDefault="00AC4AB6" w:rsidP="00AC4AB6">
      <w:pPr>
        <w:pStyle w:val="Doc-text2"/>
        <w:pBdr>
          <w:top w:val="single" w:sz="4" w:space="1" w:color="auto"/>
          <w:left w:val="single" w:sz="4" w:space="4" w:color="auto"/>
          <w:bottom w:val="single" w:sz="4" w:space="1" w:color="auto"/>
          <w:right w:val="single" w:sz="4" w:space="4" w:color="auto"/>
        </w:pBdr>
      </w:pPr>
      <w:r>
        <w:t>•</w:t>
      </w:r>
      <w:r>
        <w:tab/>
        <w:t>PCell and SCells cell quality are always included in the measurement report</w:t>
      </w:r>
    </w:p>
    <w:p w14:paraId="2724EC94" w14:textId="77777777" w:rsidR="00AC4AB6" w:rsidRDefault="00AC4AB6" w:rsidP="00AC4AB6">
      <w:pPr>
        <w:pStyle w:val="Doc-text2"/>
        <w:pBdr>
          <w:top w:val="single" w:sz="4" w:space="1" w:color="auto"/>
          <w:left w:val="single" w:sz="4" w:space="4" w:color="auto"/>
          <w:bottom w:val="single" w:sz="4" w:space="1" w:color="auto"/>
          <w:right w:val="single" w:sz="4" w:space="4" w:color="auto"/>
        </w:pBdr>
      </w:pPr>
      <w:r>
        <w:t>•</w:t>
      </w:r>
      <w:r>
        <w:tab/>
        <w:t>Include cells in the cellsTriggeredList in the measurement report (same as LTE)</w:t>
      </w:r>
    </w:p>
    <w:p w14:paraId="4E94AAA7" w14:textId="77777777" w:rsidR="00AC4AB6" w:rsidRDefault="00AC4AB6" w:rsidP="00AC4AB6">
      <w:pPr>
        <w:pStyle w:val="Doc-text2"/>
        <w:pBdr>
          <w:top w:val="single" w:sz="4" w:space="1" w:color="auto"/>
          <w:left w:val="single" w:sz="4" w:space="4" w:color="auto"/>
          <w:bottom w:val="single" w:sz="4" w:space="1" w:color="auto"/>
          <w:right w:val="single" w:sz="4" w:space="4" w:color="auto"/>
        </w:pBdr>
      </w:pPr>
      <w:r>
        <w:t>FFS cells to be included according to cellsTrigeredList to be clarified</w:t>
      </w:r>
    </w:p>
    <w:p w14:paraId="63466371" w14:textId="77777777" w:rsidR="00AC4AB6" w:rsidRDefault="00AC4AB6" w:rsidP="00876A2A">
      <w:pPr>
        <w:pStyle w:val="BodyText"/>
      </w:pPr>
    </w:p>
    <w:p w14:paraId="58F12F85" w14:textId="1F1427C5" w:rsidR="00921469" w:rsidRDefault="00225D2F" w:rsidP="00876A2A">
      <w:pPr>
        <w:pStyle w:val="BodyText"/>
      </w:pPr>
      <w:r>
        <w:t xml:space="preserve">It has been </w:t>
      </w:r>
      <w:r w:rsidR="006C42D8">
        <w:t xml:space="preserve">confirmed </w:t>
      </w:r>
      <w:r>
        <w:t>in NR RAN2</w:t>
      </w:r>
      <w:r w:rsidR="006A3B4F">
        <w:t>#98AH</w:t>
      </w:r>
      <w:r>
        <w:t xml:space="preserve"> that </w:t>
      </w:r>
      <w:r w:rsidR="00853D5F">
        <w:t>beam level measurement</w:t>
      </w:r>
      <w:r w:rsidR="006C42D8">
        <w:t xml:space="preserve"> information </w:t>
      </w:r>
      <w:r w:rsidR="00853D5F">
        <w:t xml:space="preserve"> </w:t>
      </w:r>
      <w:r w:rsidR="00450CCE">
        <w:t>can be</w:t>
      </w:r>
      <w:r w:rsidR="00853D5F">
        <w:t xml:space="preserve"> included in measurement report</w:t>
      </w:r>
      <w:r w:rsidR="006C42D8">
        <w:t>s. In addition,</w:t>
      </w:r>
      <w:r w:rsidR="00450CCE">
        <w:t xml:space="preserve"> and it has also been agreed that the number of beam</w:t>
      </w:r>
      <w:r w:rsidR="006C42D8">
        <w:t xml:space="preserve"> measurement information to be</w:t>
      </w:r>
      <w:r w:rsidR="00450CCE">
        <w:t xml:space="preserve"> included </w:t>
      </w:r>
      <w:r w:rsidR="006C42D8">
        <w:t xml:space="preserve">(X) can be configured </w:t>
      </w:r>
      <w:r w:rsidR="00450CCE">
        <w:t>independent</w:t>
      </w:r>
      <w:r w:rsidR="006C42D8">
        <w:t>ly</w:t>
      </w:r>
      <w:r w:rsidR="00450CCE">
        <w:t xml:space="preserve"> of the </w:t>
      </w:r>
      <w:r w:rsidR="006C42D8">
        <w:t xml:space="preserve">maximum </w:t>
      </w:r>
      <w:r w:rsidR="00450CCE">
        <w:t>number of beams used for cell quality derivation</w:t>
      </w:r>
      <w:r w:rsidR="00876A2A">
        <w:t xml:space="preserve">. </w:t>
      </w:r>
    </w:p>
    <w:p w14:paraId="214691DC" w14:textId="77777777" w:rsidR="00876A2A" w:rsidRDefault="00876A2A" w:rsidP="00876A2A">
      <w:pPr>
        <w:pStyle w:val="Doc-text2"/>
        <w:pBdr>
          <w:top w:val="single" w:sz="4" w:space="1" w:color="auto"/>
          <w:left w:val="single" w:sz="4" w:space="4" w:color="auto"/>
          <w:bottom w:val="single" w:sz="4" w:space="1" w:color="auto"/>
          <w:right w:val="single" w:sz="4" w:space="4" w:color="auto"/>
        </w:pBdr>
      </w:pPr>
      <w:r>
        <w:t>Agreement</w:t>
      </w:r>
    </w:p>
    <w:p w14:paraId="001060B7" w14:textId="394D54E4" w:rsidR="00450CCE" w:rsidRDefault="00450CCE" w:rsidP="00450CCE">
      <w:pPr>
        <w:pStyle w:val="Doc-text2"/>
        <w:pBdr>
          <w:top w:val="single" w:sz="4" w:space="1" w:color="auto"/>
          <w:left w:val="single" w:sz="4" w:space="4" w:color="auto"/>
          <w:bottom w:val="single" w:sz="4" w:space="1" w:color="auto"/>
          <w:right w:val="single" w:sz="4" w:space="4" w:color="auto"/>
        </w:pBdr>
      </w:pPr>
      <w:r>
        <w:t>8:</w:t>
      </w:r>
      <w:r>
        <w:tab/>
        <w:t>Beam measurement (based on NR-SS and CSI-RS) can be included in the measurement report and can be configured by the network (i.e. network configures the UE to report beam identifier only, beam measurement result and identifier, or no beam reporting)</w:t>
      </w:r>
    </w:p>
    <w:p w14:paraId="2A4185F6" w14:textId="77777777" w:rsidR="00450CCE" w:rsidRDefault="00450CCE" w:rsidP="00853D5F">
      <w:pPr>
        <w:pStyle w:val="Doc-text2"/>
        <w:pBdr>
          <w:top w:val="single" w:sz="4" w:space="1" w:color="auto"/>
          <w:left w:val="single" w:sz="4" w:space="4" w:color="auto"/>
          <w:bottom w:val="single" w:sz="4" w:space="1" w:color="auto"/>
          <w:right w:val="single" w:sz="4" w:space="4" w:color="auto"/>
        </w:pBdr>
      </w:pPr>
    </w:p>
    <w:p w14:paraId="72823859" w14:textId="66FD9B73" w:rsidR="00853D5F" w:rsidRDefault="00853D5F" w:rsidP="00853D5F">
      <w:pPr>
        <w:pStyle w:val="Doc-text2"/>
        <w:pBdr>
          <w:top w:val="single" w:sz="4" w:space="1" w:color="auto"/>
          <w:left w:val="single" w:sz="4" w:space="4" w:color="auto"/>
          <w:bottom w:val="single" w:sz="4" w:space="1" w:color="auto"/>
          <w:right w:val="single" w:sz="4" w:space="4" w:color="auto"/>
        </w:pBdr>
      </w:pPr>
      <w:r>
        <w:t>10: For selection of x SS blocks to be included in the measurement report for each cell:</w:t>
      </w:r>
    </w:p>
    <w:p w14:paraId="08B89ECE" w14:textId="77777777" w:rsidR="00853D5F" w:rsidRDefault="00853D5F" w:rsidP="00853D5F">
      <w:pPr>
        <w:pStyle w:val="Doc-text2"/>
        <w:pBdr>
          <w:top w:val="single" w:sz="4" w:space="1" w:color="auto"/>
          <w:left w:val="single" w:sz="4" w:space="4" w:color="auto"/>
          <w:bottom w:val="single" w:sz="4" w:space="1" w:color="auto"/>
          <w:right w:val="single" w:sz="4" w:space="4" w:color="auto"/>
        </w:pBdr>
      </w:pPr>
      <w:r>
        <w:t>-</w:t>
      </w:r>
      <w:r>
        <w:tab/>
        <w:t xml:space="preserve">x can be configured separately from N (N used in cell quality derivation) </w:t>
      </w:r>
    </w:p>
    <w:p w14:paraId="2DB0EAAD" w14:textId="77777777" w:rsidR="00853D5F" w:rsidRDefault="00853D5F" w:rsidP="00853D5F">
      <w:pPr>
        <w:pStyle w:val="Doc-text2"/>
        <w:pBdr>
          <w:top w:val="single" w:sz="4" w:space="1" w:color="auto"/>
          <w:left w:val="single" w:sz="4" w:space="4" w:color="auto"/>
          <w:bottom w:val="single" w:sz="4" w:space="1" w:color="auto"/>
          <w:right w:val="single" w:sz="4" w:space="4" w:color="auto"/>
        </w:pBdr>
      </w:pPr>
      <w:r>
        <w:t>FFS how to select the up to x SS blocks to be included</w:t>
      </w:r>
    </w:p>
    <w:p w14:paraId="000BE493" w14:textId="77777777" w:rsidR="006C42D8" w:rsidRDefault="006C42D8" w:rsidP="00081D62">
      <w:pPr>
        <w:pStyle w:val="BodyText"/>
      </w:pPr>
    </w:p>
    <w:p w14:paraId="099294A9" w14:textId="723247BA" w:rsidR="006C42D8" w:rsidRDefault="006A3B4F" w:rsidP="00081D62">
      <w:pPr>
        <w:pStyle w:val="BodyText"/>
      </w:pPr>
      <w:r>
        <w:t xml:space="preserve">In this contribution, we will </w:t>
      </w:r>
      <w:r w:rsidR="006C42D8">
        <w:t>discuss the two remaining open issues captured</w:t>
      </w:r>
      <w:r w:rsidR="00AC4AB6">
        <w:t xml:space="preserve"> </w:t>
      </w:r>
      <w:r w:rsidR="006C42D8">
        <w:t>in the agreements:</w:t>
      </w:r>
    </w:p>
    <w:p w14:paraId="7398F035" w14:textId="41AAACAF" w:rsidR="00BB04D1" w:rsidRDefault="00BB04D1" w:rsidP="00AC4AB6">
      <w:pPr>
        <w:pStyle w:val="BodyText"/>
        <w:numPr>
          <w:ilvl w:val="0"/>
          <w:numId w:val="29"/>
        </w:numPr>
      </w:pPr>
      <w:r>
        <w:t>FFS Cells  to be included according to cellsTrigeredList to be clarified;</w:t>
      </w:r>
    </w:p>
    <w:p w14:paraId="7175B93C" w14:textId="24A0C317" w:rsidR="00AC4AB6" w:rsidRDefault="00AC4AB6" w:rsidP="00AC4AB6">
      <w:pPr>
        <w:pStyle w:val="BodyText"/>
        <w:numPr>
          <w:ilvl w:val="0"/>
          <w:numId w:val="29"/>
        </w:numPr>
      </w:pPr>
      <w:r>
        <w:t>FFS how to select the up to x SS blocks to be included</w:t>
      </w:r>
    </w:p>
    <w:p w14:paraId="2168FD69" w14:textId="25788DFE" w:rsidR="00257D31" w:rsidRDefault="004000E8" w:rsidP="00257D31">
      <w:pPr>
        <w:pStyle w:val="Heading1"/>
      </w:pPr>
      <w:bookmarkStart w:id="1" w:name="_Ref178064866"/>
      <w:r w:rsidRPr="00CE0424">
        <w:t>Discussion</w:t>
      </w:r>
      <w:bookmarkEnd w:id="1"/>
    </w:p>
    <w:p w14:paraId="1F708B63" w14:textId="08C0B643" w:rsidR="008C484C" w:rsidRDefault="008C484C" w:rsidP="008C484C">
      <w:pPr>
        <w:pStyle w:val="Heading2"/>
      </w:pPr>
      <w:r>
        <w:t>Cells to be included in the measurement report</w:t>
      </w:r>
    </w:p>
    <w:p w14:paraId="482BF423" w14:textId="1B4A073A" w:rsidR="009F5058" w:rsidRDefault="00B16783" w:rsidP="00257D31">
      <w:pPr>
        <w:pStyle w:val="TOC1"/>
        <w:ind w:left="0" w:firstLine="0"/>
        <w:jc w:val="both"/>
        <w:rPr>
          <w:rFonts w:cs="Arial"/>
          <w:b w:val="0"/>
          <w:kern w:val="2"/>
          <w:szCs w:val="20"/>
        </w:rPr>
      </w:pPr>
      <w:r w:rsidRPr="00B16783">
        <w:rPr>
          <w:rFonts w:cs="Arial"/>
          <w:b w:val="0"/>
          <w:kern w:val="2"/>
          <w:szCs w:val="20"/>
        </w:rPr>
        <w:t>T</w:t>
      </w:r>
      <w:r w:rsidR="009F5058" w:rsidRPr="00B16783">
        <w:rPr>
          <w:rFonts w:cs="Arial"/>
          <w:b w:val="0"/>
          <w:kern w:val="2"/>
          <w:szCs w:val="20"/>
        </w:rPr>
        <w:t xml:space="preserve">he cells to be included in the measurement report, as mentioned before, the PCell, SCell and cells in the </w:t>
      </w:r>
      <w:r w:rsidR="009F5058" w:rsidRPr="00B16783">
        <w:rPr>
          <w:rFonts w:cs="Arial"/>
          <w:b w:val="0"/>
          <w:i/>
          <w:kern w:val="2"/>
          <w:szCs w:val="20"/>
        </w:rPr>
        <w:t>cellsTriggeredList</w:t>
      </w:r>
      <w:r w:rsidR="009F5058" w:rsidRPr="00B16783">
        <w:rPr>
          <w:rFonts w:cs="Arial"/>
          <w:b w:val="0"/>
          <w:kern w:val="2"/>
          <w:szCs w:val="20"/>
        </w:rPr>
        <w:t xml:space="preserve"> are included in the measurement report.</w:t>
      </w:r>
    </w:p>
    <w:p w14:paraId="7AC1692E" w14:textId="77777777" w:rsidR="00B14608" w:rsidRDefault="00B14608" w:rsidP="00257D31">
      <w:pPr>
        <w:pStyle w:val="TOC1"/>
        <w:ind w:left="0" w:firstLine="0"/>
        <w:jc w:val="both"/>
        <w:rPr>
          <w:rFonts w:cs="Arial"/>
          <w:b w:val="0"/>
          <w:kern w:val="2"/>
          <w:szCs w:val="20"/>
        </w:rPr>
      </w:pPr>
    </w:p>
    <w:p w14:paraId="40D1F300" w14:textId="77777777" w:rsidR="009F5058" w:rsidRDefault="009F5058" w:rsidP="009F5058">
      <w:pPr>
        <w:pStyle w:val="Doc-text2"/>
        <w:pBdr>
          <w:top w:val="single" w:sz="4" w:space="1" w:color="auto"/>
          <w:left w:val="single" w:sz="4" w:space="4" w:color="auto"/>
          <w:bottom w:val="single" w:sz="4" w:space="1" w:color="auto"/>
          <w:right w:val="single" w:sz="4" w:space="4" w:color="auto"/>
        </w:pBdr>
      </w:pPr>
      <w:r>
        <w:t>5: For event triggered reporting:</w:t>
      </w:r>
    </w:p>
    <w:p w14:paraId="51641766" w14:textId="77777777" w:rsidR="009F5058" w:rsidRDefault="009F5058" w:rsidP="009F5058">
      <w:pPr>
        <w:pStyle w:val="Doc-text2"/>
        <w:pBdr>
          <w:top w:val="single" w:sz="4" w:space="1" w:color="auto"/>
          <w:left w:val="single" w:sz="4" w:space="4" w:color="auto"/>
          <w:bottom w:val="single" w:sz="4" w:space="1" w:color="auto"/>
          <w:right w:val="single" w:sz="4" w:space="4" w:color="auto"/>
        </w:pBdr>
      </w:pPr>
      <w:r>
        <w:t>•</w:t>
      </w:r>
      <w:r>
        <w:tab/>
        <w:t>PCell and SCells cell quality are always included in the measurement report</w:t>
      </w:r>
    </w:p>
    <w:p w14:paraId="07E27A13" w14:textId="77777777" w:rsidR="009F5058" w:rsidRDefault="009F5058" w:rsidP="009F5058">
      <w:pPr>
        <w:pStyle w:val="Doc-text2"/>
        <w:pBdr>
          <w:top w:val="single" w:sz="4" w:space="1" w:color="auto"/>
          <w:left w:val="single" w:sz="4" w:space="4" w:color="auto"/>
          <w:bottom w:val="single" w:sz="4" w:space="1" w:color="auto"/>
          <w:right w:val="single" w:sz="4" w:space="4" w:color="auto"/>
        </w:pBdr>
      </w:pPr>
      <w:r>
        <w:t>•</w:t>
      </w:r>
      <w:r>
        <w:tab/>
        <w:t>Include cells in the cellsTriggeredList in the measurement report (same as LTE)</w:t>
      </w:r>
    </w:p>
    <w:p w14:paraId="3793B44F" w14:textId="77777777" w:rsidR="00DF10B4" w:rsidRDefault="00DF10B4" w:rsidP="00DF10B4">
      <w:pPr>
        <w:pStyle w:val="Observation"/>
        <w:numPr>
          <w:ilvl w:val="0"/>
          <w:numId w:val="0"/>
        </w:numPr>
        <w:rPr>
          <w:rFonts w:cs="Arial"/>
          <w:b w:val="0"/>
          <w:kern w:val="2"/>
        </w:rPr>
      </w:pPr>
    </w:p>
    <w:p w14:paraId="2AC3172F" w14:textId="6028DFC1" w:rsidR="00DF10B4" w:rsidRDefault="009F5058" w:rsidP="006A0410">
      <w:pPr>
        <w:pStyle w:val="Observation"/>
        <w:numPr>
          <w:ilvl w:val="0"/>
          <w:numId w:val="0"/>
        </w:numPr>
        <w:rPr>
          <w:rFonts w:cstheme="minorBidi"/>
          <w:szCs w:val="22"/>
        </w:rPr>
      </w:pPr>
      <w:r>
        <w:rPr>
          <w:rFonts w:cs="Arial"/>
          <w:b w:val="0"/>
          <w:kern w:val="2"/>
        </w:rPr>
        <w:lastRenderedPageBreak/>
        <w:t>Also, during the email discussion that was part of the preparation for the RAN2#98AH</w:t>
      </w:r>
      <w:r w:rsidR="00767292">
        <w:rPr>
          <w:rFonts w:cs="Arial"/>
          <w:b w:val="0"/>
          <w:kern w:val="2"/>
        </w:rPr>
        <w:t xml:space="preserve"> </w:t>
      </w:r>
      <w:r w:rsidR="004C5D05">
        <w:rPr>
          <w:rFonts w:cs="Arial"/>
          <w:b w:val="0"/>
          <w:kern w:val="2"/>
        </w:rPr>
        <w:t>at least 8</w:t>
      </w:r>
      <w:r w:rsidR="00767292">
        <w:rPr>
          <w:rFonts w:cs="Arial"/>
          <w:b w:val="0"/>
          <w:kern w:val="2"/>
        </w:rPr>
        <w:t xml:space="preserve"> companies expressed the views that measurement results associated to non-triggered cells could also be included in measurement reports, as long as the </w:t>
      </w:r>
      <w:r w:rsidR="00767292" w:rsidRPr="000D1218">
        <w:rPr>
          <w:rFonts w:cs="Arial"/>
          <w:b w:val="0"/>
          <w:i/>
          <w:kern w:val="2"/>
        </w:rPr>
        <w:t>maxRepor</w:t>
      </w:r>
      <w:r w:rsidR="00DB4B09" w:rsidRPr="000D1218">
        <w:rPr>
          <w:rFonts w:cs="Arial"/>
          <w:b w:val="0"/>
          <w:i/>
          <w:kern w:val="2"/>
        </w:rPr>
        <w:t>t</w:t>
      </w:r>
      <w:r w:rsidR="00767292" w:rsidRPr="000D1218">
        <w:rPr>
          <w:rFonts w:cs="Arial"/>
          <w:b w:val="0"/>
          <w:i/>
          <w:kern w:val="2"/>
        </w:rPr>
        <w:t>Cells</w:t>
      </w:r>
      <w:r w:rsidR="00767292">
        <w:rPr>
          <w:rFonts w:cs="Arial"/>
          <w:b w:val="0"/>
          <w:kern w:val="2"/>
        </w:rPr>
        <w:t xml:space="preserve"> is not filed up with the triggered cells.</w:t>
      </w:r>
    </w:p>
    <w:p w14:paraId="6C7A30CF" w14:textId="51EF8C29" w:rsidR="001227E4" w:rsidRDefault="00DF10B4" w:rsidP="001227E4">
      <w:pPr>
        <w:pStyle w:val="Observation"/>
        <w:numPr>
          <w:ilvl w:val="0"/>
          <w:numId w:val="0"/>
        </w:numPr>
        <w:rPr>
          <w:b w:val="0"/>
        </w:rPr>
      </w:pPr>
      <w:r>
        <w:rPr>
          <w:rFonts w:cs="Arial"/>
          <w:b w:val="0"/>
        </w:rPr>
        <w:t>Though, the measurement report triggering responsible cell (in an A3 like event) can have a very high probability of being chosen as the target cell of the handover, there are scenarios wherein the cell that triggered the measurement report and the cell to which the serving cell decides to handover the UE is different. Such scenarios are more often seen in areas with multi-cell overlapping border that are candidates for handover to wrong cell scenarios. Hence, to further aid the network in taking the correct decisions</w:t>
      </w:r>
      <w:r w:rsidR="00AA06F4">
        <w:rPr>
          <w:rFonts w:cs="Arial"/>
          <w:b w:val="0"/>
        </w:rPr>
        <w:t xml:space="preserve"> related to best handover candi</w:t>
      </w:r>
      <w:r w:rsidR="001B30E4">
        <w:rPr>
          <w:rFonts w:cs="Arial"/>
          <w:b w:val="0"/>
        </w:rPr>
        <w:t>d</w:t>
      </w:r>
      <w:r w:rsidR="00AA06F4">
        <w:rPr>
          <w:rFonts w:cs="Arial"/>
          <w:b w:val="0"/>
        </w:rPr>
        <w:t>ates</w:t>
      </w:r>
      <w:r>
        <w:rPr>
          <w:rFonts w:cs="Arial"/>
          <w:b w:val="0"/>
        </w:rPr>
        <w:t xml:space="preserve"> in such scenarios,</w:t>
      </w:r>
      <w:r>
        <w:rPr>
          <w:b w:val="0"/>
        </w:rPr>
        <w:t xml:space="preserve"> it may be beneficial to configure the UE to include the report of non-triggered cells whose measurements are available. </w:t>
      </w:r>
    </w:p>
    <w:p w14:paraId="6E47729A" w14:textId="0512EDBE" w:rsidR="005E4AE8" w:rsidRDefault="005E4AE8" w:rsidP="005E4AE8">
      <w:pPr>
        <w:pStyle w:val="Observation"/>
        <w:numPr>
          <w:ilvl w:val="0"/>
          <w:numId w:val="19"/>
        </w:numPr>
        <w:overflowPunct/>
        <w:autoSpaceDE/>
        <w:autoSpaceDN/>
        <w:adjustRightInd/>
        <w:spacing w:after="160" w:line="256" w:lineRule="auto"/>
        <w:ind w:left="1701" w:hanging="1701"/>
        <w:jc w:val="left"/>
        <w:textAlignment w:val="auto"/>
        <w:rPr>
          <w:rFonts w:cstheme="minorBidi"/>
          <w:szCs w:val="22"/>
        </w:rPr>
      </w:pPr>
      <w:r>
        <w:t>The serving cell could potentially use the information available at the UE regarding the non-triggered cells to improve the handover related decisions.</w:t>
      </w:r>
    </w:p>
    <w:p w14:paraId="5089E343" w14:textId="46B3BC9A" w:rsidR="005E4AE8" w:rsidRPr="001B30E4" w:rsidRDefault="005E4AE8" w:rsidP="001227E4">
      <w:pPr>
        <w:pStyle w:val="Observation"/>
        <w:numPr>
          <w:ilvl w:val="0"/>
          <w:numId w:val="0"/>
        </w:numPr>
        <w:rPr>
          <w:rFonts w:cs="Arial"/>
          <w:b w:val="0"/>
        </w:rPr>
      </w:pPr>
      <w:r>
        <w:rPr>
          <w:rFonts w:cs="Arial"/>
          <w:b w:val="0"/>
        </w:rPr>
        <w:t xml:space="preserve">In the previous meetings, some companies have expressed the need to have a measurement report triggering criterion based on the ‘number of good beams’. The intention was to use this information to handover the UE to a cell that has good coverage from multiple beams at that location. Instead of adding one more measurement report triggering criterion, one could enhance the measurement report content for the existing measurement reporting triggering criterion by adding cells with multiple ‘good beams’ to be part of the </w:t>
      </w:r>
      <w:r w:rsidRPr="00D47CBC">
        <w:rPr>
          <w:rFonts w:cs="Arial"/>
          <w:b w:val="0"/>
          <w:i/>
        </w:rPr>
        <w:t>Non-TriggeredCellsList</w:t>
      </w:r>
      <w:r>
        <w:rPr>
          <w:rFonts w:cs="Arial"/>
          <w:b w:val="0"/>
        </w:rPr>
        <w:t xml:space="preserve"> in the measurement report. By doing so, the serving cell will be notified of the presence of a third cell whose cell level measurements have not triggered the measurement report however, has multiple good beams at the current location of the UE. The ‘good beams’ evaluation could be based on the relative threshold from the best beam of the serving cell or the cell that has triggered the measurement report or from the best beam amongst all the audible beams to the UE. If a non-triggered cell has many ‘good beams’, then the network could use this information to select the handover candidate optimally. For example, the cell with many good beams can be perceived as the most robust cell to handover a UE to however at the cost of reduced throughput in some scenarios. This will allow the network to choose the appropriate decision using appropriate region of the network using a SON function to control the handover decision.</w:t>
      </w:r>
    </w:p>
    <w:p w14:paraId="486A5A96" w14:textId="5113F9FD" w:rsidR="004C5D05" w:rsidRDefault="004A6EA3" w:rsidP="000D1218">
      <w:pPr>
        <w:pStyle w:val="Proposal"/>
        <w:numPr>
          <w:ilvl w:val="0"/>
          <w:numId w:val="18"/>
        </w:numPr>
        <w:tabs>
          <w:tab w:val="clear" w:pos="1304"/>
        </w:tabs>
        <w:overflowPunct/>
        <w:autoSpaceDE/>
        <w:autoSpaceDN/>
        <w:adjustRightInd/>
        <w:spacing w:after="160" w:line="257" w:lineRule="auto"/>
        <w:ind w:left="1701" w:hanging="1701"/>
        <w:jc w:val="left"/>
        <w:textAlignment w:val="auto"/>
      </w:pPr>
      <w:r>
        <w:t>Network can configure the UE to i</w:t>
      </w:r>
      <w:r w:rsidR="004C5D05">
        <w:t xml:space="preserve">nclude the cells in the </w:t>
      </w:r>
      <w:r w:rsidR="004C5D05" w:rsidRPr="000D1218">
        <w:rPr>
          <w:i/>
        </w:rPr>
        <w:t>cellsTrig</w:t>
      </w:r>
      <w:r w:rsidR="00CD0E3D">
        <w:rPr>
          <w:i/>
        </w:rPr>
        <w:t>g</w:t>
      </w:r>
      <w:r w:rsidR="004C5D05" w:rsidRPr="000D1218">
        <w:rPr>
          <w:i/>
        </w:rPr>
        <w:t>eredList</w:t>
      </w:r>
      <w:r w:rsidR="004C5D05" w:rsidRPr="004C5D05">
        <w:t xml:space="preserve"> </w:t>
      </w:r>
      <w:r w:rsidR="004C5D05">
        <w:t xml:space="preserve">until </w:t>
      </w:r>
      <w:r w:rsidR="004C5D05" w:rsidRPr="000D1218">
        <w:rPr>
          <w:i/>
        </w:rPr>
        <w:t>maxReportCells</w:t>
      </w:r>
      <w:r w:rsidR="004C5D05">
        <w:t xml:space="preserve"> is filled up.</w:t>
      </w:r>
    </w:p>
    <w:p w14:paraId="71DC6AD2" w14:textId="02D26A67" w:rsidR="005E4AE8" w:rsidRDefault="005E4AE8" w:rsidP="000D1218">
      <w:pPr>
        <w:pStyle w:val="Proposal"/>
        <w:numPr>
          <w:ilvl w:val="0"/>
          <w:numId w:val="18"/>
        </w:numPr>
        <w:tabs>
          <w:tab w:val="clear" w:pos="1304"/>
        </w:tabs>
        <w:overflowPunct/>
        <w:autoSpaceDE/>
        <w:autoSpaceDN/>
        <w:adjustRightInd/>
        <w:spacing w:after="160" w:line="257" w:lineRule="auto"/>
        <w:ind w:left="1701" w:hanging="1701"/>
        <w:jc w:val="left"/>
        <w:textAlignment w:val="auto"/>
      </w:pPr>
      <w:r>
        <w:t xml:space="preserve">If the number of cells in the </w:t>
      </w:r>
      <w:r w:rsidRPr="00F03B15">
        <w:rPr>
          <w:i/>
        </w:rPr>
        <w:t>cellsTrig</w:t>
      </w:r>
      <w:r w:rsidR="00CD0E3D">
        <w:rPr>
          <w:i/>
        </w:rPr>
        <w:t>g</w:t>
      </w:r>
      <w:r w:rsidRPr="00F03B15">
        <w:rPr>
          <w:i/>
        </w:rPr>
        <w:t>eredList</w:t>
      </w:r>
      <w:r w:rsidRPr="004C5D05">
        <w:t xml:space="preserve"> </w:t>
      </w:r>
      <w:r>
        <w:t xml:space="preserve">is less than </w:t>
      </w:r>
      <w:r w:rsidRPr="00F03B15">
        <w:rPr>
          <w:i/>
        </w:rPr>
        <w:t>maxReportCells</w:t>
      </w:r>
      <w:r>
        <w:t xml:space="preserve">, include other cells also in the measurement report until </w:t>
      </w:r>
      <w:r w:rsidRPr="00F03B15">
        <w:rPr>
          <w:i/>
        </w:rPr>
        <w:t>maxReportCells</w:t>
      </w:r>
      <w:r>
        <w:t xml:space="preserve"> is filled up.</w:t>
      </w:r>
    </w:p>
    <w:p w14:paraId="1A231413" w14:textId="31B60D6B" w:rsidR="001578DD" w:rsidRDefault="005E4AE8" w:rsidP="000D1218">
      <w:pPr>
        <w:pStyle w:val="Proposal"/>
        <w:numPr>
          <w:ilvl w:val="2"/>
          <w:numId w:val="18"/>
        </w:numPr>
        <w:overflowPunct/>
        <w:autoSpaceDE/>
        <w:autoSpaceDN/>
        <w:adjustRightInd/>
        <w:spacing w:after="160" w:line="257" w:lineRule="auto"/>
        <w:jc w:val="left"/>
        <w:textAlignment w:val="auto"/>
      </w:pPr>
      <w:r>
        <w:t xml:space="preserve">It is FFS as to how the cells other than the ones in the </w:t>
      </w:r>
      <w:r w:rsidRPr="00F03B15">
        <w:rPr>
          <w:i/>
        </w:rPr>
        <w:t>cellsTrig</w:t>
      </w:r>
      <w:r w:rsidR="00CD0E3D">
        <w:rPr>
          <w:i/>
        </w:rPr>
        <w:t>g</w:t>
      </w:r>
      <w:r w:rsidRPr="00F03B15">
        <w:rPr>
          <w:i/>
        </w:rPr>
        <w:t>eredList</w:t>
      </w:r>
      <w:r>
        <w:t xml:space="preserve"> are selected</w:t>
      </w:r>
      <w:r w:rsidR="001578DD">
        <w:t>.</w:t>
      </w:r>
    </w:p>
    <w:p w14:paraId="2786DB69" w14:textId="5F3FA7EC" w:rsidR="00DF10B4" w:rsidRDefault="001578DD" w:rsidP="000D1218">
      <w:pPr>
        <w:pStyle w:val="Proposal"/>
        <w:numPr>
          <w:ilvl w:val="2"/>
          <w:numId w:val="18"/>
        </w:numPr>
        <w:overflowPunct/>
        <w:autoSpaceDE/>
        <w:autoSpaceDN/>
        <w:adjustRightInd/>
        <w:spacing w:after="160" w:line="257" w:lineRule="auto"/>
        <w:jc w:val="left"/>
        <w:textAlignment w:val="auto"/>
      </w:pPr>
      <w:r>
        <w:t xml:space="preserve">It is FFS as to whether network can configure the UE to include more than just the </w:t>
      </w:r>
      <w:r w:rsidRPr="00F03B15">
        <w:rPr>
          <w:i/>
        </w:rPr>
        <w:t>cellsTrig</w:t>
      </w:r>
      <w:r w:rsidR="00CD0E3D">
        <w:rPr>
          <w:i/>
        </w:rPr>
        <w:t>g</w:t>
      </w:r>
      <w:r w:rsidRPr="00F03B15">
        <w:rPr>
          <w:i/>
        </w:rPr>
        <w:t>eredList</w:t>
      </w:r>
      <w:r>
        <w:rPr>
          <w:i/>
        </w:rPr>
        <w:t xml:space="preserve"> </w:t>
      </w:r>
      <w:r>
        <w:t>in the measurement report.</w:t>
      </w:r>
    </w:p>
    <w:p w14:paraId="20FE003E" w14:textId="08E6ED2E" w:rsidR="008C484C" w:rsidRDefault="008C484C" w:rsidP="008C484C">
      <w:pPr>
        <w:pStyle w:val="Heading2"/>
      </w:pPr>
      <w:r>
        <w:t>Beams to be included in the measurement report</w:t>
      </w:r>
    </w:p>
    <w:p w14:paraId="70B052C5" w14:textId="6958C3CB" w:rsidR="00EE5320" w:rsidRDefault="005748D4" w:rsidP="00EE5320">
      <w:pPr>
        <w:pStyle w:val="TOC1"/>
        <w:ind w:left="0" w:firstLine="0"/>
        <w:jc w:val="both"/>
        <w:rPr>
          <w:rFonts w:cs="Arial"/>
          <w:b w:val="0"/>
          <w:kern w:val="2"/>
          <w:szCs w:val="20"/>
        </w:rPr>
      </w:pPr>
      <w:r>
        <w:rPr>
          <w:rFonts w:cs="Arial"/>
          <w:b w:val="0"/>
          <w:kern w:val="2"/>
          <w:szCs w:val="20"/>
        </w:rPr>
        <w:t xml:space="preserve">The main purpose of including the beam level measurements in the measurement report is to aid the </w:t>
      </w:r>
      <w:r w:rsidR="00EE5320">
        <w:rPr>
          <w:rFonts w:cs="Arial"/>
          <w:b w:val="0"/>
          <w:kern w:val="2"/>
          <w:szCs w:val="20"/>
        </w:rPr>
        <w:t>target cell to allocate the random access resources efficiently. Therefore, the network could benefit from the beam level information for each of the cells that are included in the measurement report as the candidate cell for handover is chosen amongst the cells in the measurement report.</w:t>
      </w:r>
    </w:p>
    <w:p w14:paraId="4476795C" w14:textId="0F78E50D" w:rsidR="00EE5320" w:rsidRDefault="00EE5320" w:rsidP="000D1218">
      <w:pPr>
        <w:pStyle w:val="Observation"/>
        <w:numPr>
          <w:ilvl w:val="0"/>
          <w:numId w:val="0"/>
        </w:numPr>
        <w:overflowPunct/>
        <w:autoSpaceDE/>
        <w:autoSpaceDN/>
        <w:adjustRightInd/>
        <w:spacing w:after="160" w:line="256" w:lineRule="auto"/>
        <w:jc w:val="left"/>
        <w:textAlignment w:val="auto"/>
        <w:rPr>
          <w:rFonts w:cstheme="minorBidi"/>
          <w:szCs w:val="22"/>
        </w:rPr>
      </w:pPr>
    </w:p>
    <w:p w14:paraId="308F0A96" w14:textId="2CDA3EB4" w:rsidR="009C5F38" w:rsidRDefault="009C5F38" w:rsidP="009C5F38">
      <w:pPr>
        <w:pStyle w:val="Observation"/>
        <w:numPr>
          <w:ilvl w:val="0"/>
          <w:numId w:val="19"/>
        </w:numPr>
        <w:overflowPunct/>
        <w:autoSpaceDE/>
        <w:autoSpaceDN/>
        <w:adjustRightInd/>
        <w:spacing w:after="160" w:line="256" w:lineRule="auto"/>
        <w:ind w:left="1701" w:hanging="1701"/>
        <w:jc w:val="left"/>
        <w:textAlignment w:val="auto"/>
        <w:rPr>
          <w:rFonts w:cstheme="minorBidi"/>
          <w:szCs w:val="22"/>
        </w:rPr>
      </w:pPr>
      <w:r>
        <w:rPr>
          <w:rFonts w:cstheme="minorBidi"/>
          <w:szCs w:val="22"/>
        </w:rPr>
        <w:t>The purpose of including the beam level measurements in the measurement report is to aid the target cell in allocating random access resources efficiently.</w:t>
      </w:r>
    </w:p>
    <w:p w14:paraId="6164AA87" w14:textId="77777777" w:rsidR="009C5F38" w:rsidRDefault="009C5F38" w:rsidP="009C5F38">
      <w:pPr>
        <w:pStyle w:val="TOC1"/>
        <w:ind w:left="0" w:firstLine="0"/>
        <w:jc w:val="both"/>
        <w:rPr>
          <w:rFonts w:cs="Arial"/>
          <w:b w:val="0"/>
          <w:kern w:val="2"/>
          <w:szCs w:val="20"/>
        </w:rPr>
      </w:pPr>
      <w:r>
        <w:rPr>
          <w:rFonts w:cs="Arial"/>
          <w:b w:val="0"/>
          <w:kern w:val="2"/>
          <w:szCs w:val="20"/>
        </w:rPr>
        <w:t>In the previous meeting, it was agreed to include ‘</w:t>
      </w:r>
      <w:r w:rsidRPr="006F33F5">
        <w:rPr>
          <w:rFonts w:cs="Arial"/>
          <w:b w:val="0"/>
          <w:i/>
          <w:kern w:val="2"/>
          <w:szCs w:val="20"/>
        </w:rPr>
        <w:t>X</w:t>
      </w:r>
      <w:r>
        <w:rPr>
          <w:rFonts w:cs="Arial"/>
          <w:b w:val="0"/>
          <w:kern w:val="2"/>
          <w:szCs w:val="20"/>
        </w:rPr>
        <w:t xml:space="preserve">’ SS blocks in the measurement report for each cell. </w:t>
      </w:r>
    </w:p>
    <w:p w14:paraId="6DEEDA8D" w14:textId="77777777" w:rsidR="009C5F38" w:rsidRDefault="009C5F38" w:rsidP="009C5F38">
      <w:pPr>
        <w:pStyle w:val="TOC1"/>
        <w:ind w:left="0" w:firstLine="0"/>
        <w:jc w:val="both"/>
        <w:rPr>
          <w:rFonts w:cs="Arial"/>
          <w:b w:val="0"/>
          <w:kern w:val="2"/>
          <w:szCs w:val="20"/>
        </w:rPr>
      </w:pPr>
    </w:p>
    <w:p w14:paraId="7F43476F" w14:textId="77777777" w:rsidR="009C5F38" w:rsidRDefault="009C5F38" w:rsidP="009C5F38">
      <w:pPr>
        <w:pStyle w:val="Doc-text2"/>
        <w:pBdr>
          <w:top w:val="single" w:sz="4" w:space="1" w:color="auto"/>
          <w:left w:val="single" w:sz="4" w:space="4" w:color="auto"/>
          <w:bottom w:val="single" w:sz="4" w:space="1" w:color="auto"/>
          <w:right w:val="single" w:sz="4" w:space="4" w:color="auto"/>
        </w:pBdr>
      </w:pPr>
      <w:r>
        <w:t>10: For selection of x SS blocks to be included in the measurement report for each cell:</w:t>
      </w:r>
    </w:p>
    <w:p w14:paraId="53186309" w14:textId="77777777" w:rsidR="009C5F38" w:rsidRDefault="009C5F38" w:rsidP="009C5F38">
      <w:pPr>
        <w:pStyle w:val="Doc-text2"/>
        <w:pBdr>
          <w:top w:val="single" w:sz="4" w:space="1" w:color="auto"/>
          <w:left w:val="single" w:sz="4" w:space="4" w:color="auto"/>
          <w:bottom w:val="single" w:sz="4" w:space="1" w:color="auto"/>
          <w:right w:val="single" w:sz="4" w:space="4" w:color="auto"/>
        </w:pBdr>
      </w:pPr>
      <w:r>
        <w:t>-</w:t>
      </w:r>
      <w:r>
        <w:tab/>
        <w:t xml:space="preserve">x can be configured separately from N (N used in cell quality derivation) </w:t>
      </w:r>
    </w:p>
    <w:p w14:paraId="699C37E5" w14:textId="77777777" w:rsidR="009C5F38" w:rsidRDefault="009C5F38" w:rsidP="009C5F38">
      <w:pPr>
        <w:pStyle w:val="Doc-text2"/>
        <w:pBdr>
          <w:top w:val="single" w:sz="4" w:space="1" w:color="auto"/>
          <w:left w:val="single" w:sz="4" w:space="4" w:color="auto"/>
          <w:bottom w:val="single" w:sz="4" w:space="1" w:color="auto"/>
          <w:right w:val="single" w:sz="4" w:space="4" w:color="auto"/>
        </w:pBdr>
      </w:pPr>
      <w:r>
        <w:t>FFS how to select the up to x SS blocks to be included</w:t>
      </w:r>
    </w:p>
    <w:p w14:paraId="29192E0D" w14:textId="77777777" w:rsidR="009C5F38" w:rsidRDefault="009C5F38" w:rsidP="009C5F38">
      <w:pPr>
        <w:pStyle w:val="Doc-text2"/>
        <w:pBdr>
          <w:top w:val="single" w:sz="4" w:space="1" w:color="auto"/>
          <w:left w:val="single" w:sz="4" w:space="4" w:color="auto"/>
          <w:bottom w:val="single" w:sz="4" w:space="1" w:color="auto"/>
          <w:right w:val="single" w:sz="4" w:space="4" w:color="auto"/>
        </w:pBdr>
      </w:pPr>
    </w:p>
    <w:p w14:paraId="4DCBB1CC" w14:textId="77777777" w:rsidR="009C5F38" w:rsidRDefault="009C5F38" w:rsidP="000D1218">
      <w:pPr>
        <w:pStyle w:val="Observation"/>
        <w:numPr>
          <w:ilvl w:val="0"/>
          <w:numId w:val="0"/>
        </w:numPr>
        <w:overflowPunct/>
        <w:autoSpaceDE/>
        <w:autoSpaceDN/>
        <w:adjustRightInd/>
        <w:spacing w:after="160" w:line="256" w:lineRule="auto"/>
        <w:jc w:val="left"/>
        <w:textAlignment w:val="auto"/>
        <w:rPr>
          <w:rFonts w:cstheme="minorBidi"/>
          <w:szCs w:val="22"/>
        </w:rPr>
      </w:pPr>
    </w:p>
    <w:tbl>
      <w:tblPr>
        <w:tblStyle w:val="TableGrid"/>
        <w:tblW w:w="0" w:type="auto"/>
        <w:tblLook w:val="04A0" w:firstRow="1" w:lastRow="0" w:firstColumn="1" w:lastColumn="0" w:noHBand="0" w:noVBand="1"/>
      </w:tblPr>
      <w:tblGrid>
        <w:gridCol w:w="1242"/>
        <w:gridCol w:w="4111"/>
        <w:gridCol w:w="4253"/>
      </w:tblGrid>
      <w:tr w:rsidR="009C5F38" w:rsidRPr="009C5F38" w14:paraId="2E03E070" w14:textId="77777777" w:rsidTr="000D1218">
        <w:tc>
          <w:tcPr>
            <w:tcW w:w="1242" w:type="dxa"/>
          </w:tcPr>
          <w:p w14:paraId="63C2571D" w14:textId="72DD2F13" w:rsidR="009C5F38" w:rsidRPr="000D1218" w:rsidRDefault="009C5F38" w:rsidP="00F03B15">
            <w:pPr>
              <w:pStyle w:val="TOC1"/>
              <w:ind w:left="0" w:firstLine="0"/>
              <w:jc w:val="both"/>
              <w:rPr>
                <w:rFonts w:cs="Arial"/>
                <w:kern w:val="2"/>
                <w:sz w:val="18"/>
                <w:szCs w:val="20"/>
              </w:rPr>
            </w:pPr>
            <w:r w:rsidRPr="000D1218">
              <w:rPr>
                <w:rFonts w:cs="Arial"/>
                <w:kern w:val="2"/>
                <w:sz w:val="18"/>
                <w:szCs w:val="20"/>
              </w:rPr>
              <w:lastRenderedPageBreak/>
              <w:t>Strategy</w:t>
            </w:r>
          </w:p>
        </w:tc>
        <w:tc>
          <w:tcPr>
            <w:tcW w:w="4111" w:type="dxa"/>
          </w:tcPr>
          <w:p w14:paraId="3194D0AC" w14:textId="77777777" w:rsidR="009C5F38" w:rsidRPr="000D1218" w:rsidRDefault="009C5F38" w:rsidP="00F03B15">
            <w:pPr>
              <w:pStyle w:val="TOC1"/>
              <w:ind w:left="0" w:firstLine="0"/>
              <w:jc w:val="both"/>
              <w:rPr>
                <w:rFonts w:cs="Arial"/>
                <w:kern w:val="2"/>
                <w:sz w:val="18"/>
                <w:szCs w:val="20"/>
              </w:rPr>
            </w:pPr>
            <w:r w:rsidRPr="000D1218">
              <w:rPr>
                <w:rFonts w:cs="Arial"/>
                <w:kern w:val="2"/>
                <w:sz w:val="18"/>
                <w:szCs w:val="20"/>
              </w:rPr>
              <w:t>Explanation</w:t>
            </w:r>
          </w:p>
        </w:tc>
        <w:tc>
          <w:tcPr>
            <w:tcW w:w="4253" w:type="dxa"/>
          </w:tcPr>
          <w:p w14:paraId="351627DC" w14:textId="77777777" w:rsidR="009C5F38" w:rsidRPr="000D1218" w:rsidRDefault="009C5F38" w:rsidP="00F03B15">
            <w:pPr>
              <w:pStyle w:val="TOC1"/>
              <w:ind w:left="0" w:firstLine="0"/>
              <w:jc w:val="both"/>
              <w:rPr>
                <w:rFonts w:cs="Arial"/>
                <w:kern w:val="2"/>
                <w:sz w:val="18"/>
                <w:szCs w:val="20"/>
              </w:rPr>
            </w:pPr>
            <w:r w:rsidRPr="000D1218">
              <w:rPr>
                <w:rFonts w:cs="Arial"/>
                <w:kern w:val="2"/>
                <w:sz w:val="18"/>
                <w:szCs w:val="20"/>
              </w:rPr>
              <w:t>Pros and Cons</w:t>
            </w:r>
          </w:p>
        </w:tc>
      </w:tr>
      <w:tr w:rsidR="009C5F38" w:rsidRPr="009C5F38" w14:paraId="177DCBC5" w14:textId="77777777" w:rsidTr="000D1218">
        <w:tc>
          <w:tcPr>
            <w:tcW w:w="1242" w:type="dxa"/>
          </w:tcPr>
          <w:p w14:paraId="65C60765" w14:textId="77777777" w:rsidR="009C5F38" w:rsidRPr="000D1218" w:rsidRDefault="009C5F38" w:rsidP="00F03B15">
            <w:pPr>
              <w:pStyle w:val="TOC1"/>
              <w:ind w:left="0" w:firstLine="0"/>
              <w:jc w:val="both"/>
              <w:rPr>
                <w:rFonts w:cs="Arial"/>
                <w:b w:val="0"/>
                <w:kern w:val="2"/>
                <w:sz w:val="18"/>
                <w:szCs w:val="20"/>
              </w:rPr>
            </w:pPr>
            <w:r w:rsidRPr="000D1218">
              <w:rPr>
                <w:rFonts w:cs="Arial"/>
                <w:b w:val="0"/>
                <w:kern w:val="2"/>
                <w:sz w:val="18"/>
                <w:szCs w:val="20"/>
              </w:rPr>
              <w:t>Best beams based</w:t>
            </w:r>
          </w:p>
        </w:tc>
        <w:tc>
          <w:tcPr>
            <w:tcW w:w="4111" w:type="dxa"/>
          </w:tcPr>
          <w:p w14:paraId="79169E4E" w14:textId="77777777" w:rsidR="009C5F38" w:rsidRPr="000D1218" w:rsidRDefault="009C5F38" w:rsidP="00F03B15">
            <w:pPr>
              <w:pStyle w:val="TOC1"/>
              <w:numPr>
                <w:ilvl w:val="0"/>
                <w:numId w:val="22"/>
              </w:numPr>
              <w:jc w:val="both"/>
              <w:rPr>
                <w:rFonts w:cs="Arial"/>
                <w:b w:val="0"/>
                <w:kern w:val="2"/>
                <w:sz w:val="18"/>
                <w:szCs w:val="20"/>
              </w:rPr>
            </w:pPr>
            <w:r w:rsidRPr="000D1218">
              <w:rPr>
                <w:rFonts w:cs="Arial"/>
                <w:b w:val="0"/>
                <w:kern w:val="2"/>
                <w:sz w:val="18"/>
                <w:szCs w:val="20"/>
              </w:rPr>
              <w:t>All beams, from each of the ‘K’ cells to be reproted, are sorted in descending order and rthe top ‘X’ beams are chosen to be reported.</w:t>
            </w:r>
          </w:p>
        </w:tc>
        <w:tc>
          <w:tcPr>
            <w:tcW w:w="4253" w:type="dxa"/>
          </w:tcPr>
          <w:p w14:paraId="73C416C3" w14:textId="77777777" w:rsidR="009C5F38" w:rsidRPr="000D1218" w:rsidRDefault="009C5F38" w:rsidP="00F03B15">
            <w:pPr>
              <w:pStyle w:val="TOC1"/>
              <w:numPr>
                <w:ilvl w:val="0"/>
                <w:numId w:val="22"/>
              </w:numPr>
              <w:jc w:val="both"/>
              <w:rPr>
                <w:rFonts w:cs="Arial"/>
                <w:b w:val="0"/>
                <w:kern w:val="2"/>
                <w:sz w:val="18"/>
                <w:szCs w:val="20"/>
              </w:rPr>
            </w:pPr>
            <w:r w:rsidRPr="000D1218">
              <w:rPr>
                <w:rFonts w:cs="Arial"/>
                <w:b w:val="0"/>
                <w:kern w:val="2"/>
                <w:sz w:val="18"/>
                <w:szCs w:val="20"/>
              </w:rPr>
              <w:t>Provides the best beam level coverage scenario at that location.</w:t>
            </w:r>
          </w:p>
          <w:p w14:paraId="44AA1D91" w14:textId="77777777" w:rsidR="009C5F38" w:rsidRPr="000D1218" w:rsidRDefault="009C5F38" w:rsidP="00F03B15">
            <w:pPr>
              <w:pStyle w:val="TOC1"/>
              <w:numPr>
                <w:ilvl w:val="0"/>
                <w:numId w:val="22"/>
              </w:numPr>
              <w:jc w:val="both"/>
              <w:rPr>
                <w:rFonts w:cs="Arial"/>
                <w:b w:val="0"/>
                <w:kern w:val="2"/>
                <w:sz w:val="18"/>
                <w:szCs w:val="20"/>
              </w:rPr>
            </w:pPr>
            <w:r w:rsidRPr="000D1218">
              <w:rPr>
                <w:rFonts w:cs="Arial"/>
                <w:b w:val="0"/>
                <w:kern w:val="2"/>
                <w:sz w:val="18"/>
                <w:szCs w:val="20"/>
              </w:rPr>
              <w:t>If ‘X’ is large enough (at least &gt; K), then aids to disregard some cells as target cells who are included in the measurement report but have no beams included in the measurement report.</w:t>
            </w:r>
          </w:p>
          <w:p w14:paraId="3CD0208E" w14:textId="1C73E198" w:rsidR="009C5F38" w:rsidRPr="000D1218" w:rsidRDefault="009C5F38" w:rsidP="000D1218">
            <w:pPr>
              <w:pStyle w:val="TOC1"/>
              <w:numPr>
                <w:ilvl w:val="0"/>
                <w:numId w:val="22"/>
              </w:numPr>
              <w:jc w:val="both"/>
              <w:rPr>
                <w:rFonts w:cs="Arial"/>
                <w:b w:val="0"/>
                <w:kern w:val="2"/>
                <w:sz w:val="18"/>
                <w:szCs w:val="20"/>
              </w:rPr>
            </w:pPr>
            <w:r w:rsidRPr="000D1218">
              <w:rPr>
                <w:rFonts w:cs="Arial"/>
                <w:b w:val="0"/>
                <w:kern w:val="2"/>
                <w:sz w:val="18"/>
                <w:szCs w:val="20"/>
              </w:rPr>
              <w:t>Not all the cells included in the measurement report have beam level results. Thus potentially restricting the RA resource allocation in the chosen target cell.</w:t>
            </w:r>
          </w:p>
        </w:tc>
      </w:tr>
      <w:tr w:rsidR="009C5F38" w:rsidRPr="009C5F38" w14:paraId="230A3B02" w14:textId="77777777" w:rsidTr="000D1218">
        <w:tc>
          <w:tcPr>
            <w:tcW w:w="1242" w:type="dxa"/>
          </w:tcPr>
          <w:p w14:paraId="4FFEF26C" w14:textId="77777777" w:rsidR="009C5F38" w:rsidRPr="000D1218" w:rsidRDefault="009C5F38" w:rsidP="00F03B15">
            <w:pPr>
              <w:pStyle w:val="TOC1"/>
              <w:ind w:left="0" w:firstLine="0"/>
              <w:jc w:val="both"/>
              <w:rPr>
                <w:rFonts w:cs="Arial"/>
                <w:b w:val="0"/>
                <w:kern w:val="2"/>
                <w:sz w:val="18"/>
                <w:szCs w:val="20"/>
              </w:rPr>
            </w:pPr>
            <w:r w:rsidRPr="000D1218">
              <w:rPr>
                <w:rFonts w:cs="Arial"/>
                <w:b w:val="0"/>
                <w:kern w:val="2"/>
                <w:sz w:val="18"/>
                <w:szCs w:val="20"/>
              </w:rPr>
              <w:t xml:space="preserve">Cell-level best beams based </w:t>
            </w:r>
          </w:p>
        </w:tc>
        <w:tc>
          <w:tcPr>
            <w:tcW w:w="4111" w:type="dxa"/>
          </w:tcPr>
          <w:p w14:paraId="02A6F95F" w14:textId="77777777" w:rsidR="009C5F38" w:rsidRPr="000D1218" w:rsidRDefault="009C5F38" w:rsidP="00F03B15">
            <w:pPr>
              <w:pStyle w:val="TOC1"/>
              <w:numPr>
                <w:ilvl w:val="0"/>
                <w:numId w:val="22"/>
              </w:numPr>
              <w:jc w:val="both"/>
              <w:rPr>
                <w:rFonts w:cs="Arial"/>
                <w:b w:val="0"/>
                <w:kern w:val="2"/>
                <w:sz w:val="18"/>
                <w:szCs w:val="20"/>
              </w:rPr>
            </w:pPr>
            <w:r w:rsidRPr="000D1218">
              <w:rPr>
                <w:rFonts w:cs="Arial"/>
                <w:b w:val="0"/>
                <w:kern w:val="2"/>
                <w:sz w:val="18"/>
                <w:szCs w:val="20"/>
              </w:rPr>
              <w:t xml:space="preserve">First select strongest beam, from each of the ‘K’ cells to be included in the measurement report. If this do not fill all of ‘X’  beams then sort the remaining beams from each of the ‘K’ cells to be reproted, and fill the rest of ‘X’ beams from this sorted list. </w:t>
            </w:r>
          </w:p>
        </w:tc>
        <w:tc>
          <w:tcPr>
            <w:tcW w:w="4253" w:type="dxa"/>
          </w:tcPr>
          <w:p w14:paraId="5AB966B6" w14:textId="77777777" w:rsidR="009C5F38" w:rsidRPr="000D1218" w:rsidRDefault="009C5F38" w:rsidP="00F03B15">
            <w:pPr>
              <w:pStyle w:val="TOC1"/>
              <w:numPr>
                <w:ilvl w:val="0"/>
                <w:numId w:val="22"/>
              </w:numPr>
              <w:jc w:val="both"/>
              <w:rPr>
                <w:rFonts w:cs="Arial"/>
                <w:b w:val="0"/>
                <w:kern w:val="2"/>
                <w:sz w:val="18"/>
                <w:szCs w:val="20"/>
              </w:rPr>
            </w:pPr>
            <w:r w:rsidRPr="000D1218">
              <w:rPr>
                <w:rFonts w:cs="Arial"/>
                <w:b w:val="0"/>
                <w:kern w:val="2"/>
                <w:sz w:val="18"/>
                <w:szCs w:val="20"/>
              </w:rPr>
              <w:t>Each cell included in the measurement report is also represented with at least one beam level information thus allowing CFRA allocation for at least one beam independent of chosen target cell.</w:t>
            </w:r>
          </w:p>
          <w:p w14:paraId="15A62C9D" w14:textId="77777777" w:rsidR="009C5F38" w:rsidRPr="000D1218" w:rsidRDefault="009C5F38" w:rsidP="00F03B15">
            <w:pPr>
              <w:pStyle w:val="TOC1"/>
              <w:numPr>
                <w:ilvl w:val="0"/>
                <w:numId w:val="22"/>
              </w:numPr>
              <w:jc w:val="both"/>
              <w:rPr>
                <w:rFonts w:cs="Arial"/>
                <w:b w:val="0"/>
                <w:kern w:val="2"/>
                <w:sz w:val="18"/>
                <w:szCs w:val="20"/>
              </w:rPr>
            </w:pPr>
            <w:r w:rsidRPr="000D1218">
              <w:rPr>
                <w:rFonts w:cs="Arial"/>
                <w:b w:val="0"/>
                <w:kern w:val="2"/>
                <w:sz w:val="18"/>
                <w:szCs w:val="20"/>
              </w:rPr>
              <w:t>When X &gt; K, also provides beam level coverage aspects in the measurerent report thus further aiding HO decisions.</w:t>
            </w:r>
          </w:p>
        </w:tc>
      </w:tr>
      <w:tr w:rsidR="009C5F38" w:rsidRPr="009C5F38" w14:paraId="15DA4EAC" w14:textId="77777777" w:rsidTr="000D1218">
        <w:tc>
          <w:tcPr>
            <w:tcW w:w="1242" w:type="dxa"/>
          </w:tcPr>
          <w:p w14:paraId="5A868980" w14:textId="77777777" w:rsidR="009C5F38" w:rsidRPr="000D1218" w:rsidRDefault="009C5F38" w:rsidP="00F03B15">
            <w:pPr>
              <w:pStyle w:val="TOC1"/>
              <w:ind w:left="0" w:firstLine="0"/>
              <w:jc w:val="both"/>
              <w:rPr>
                <w:rFonts w:cs="Arial"/>
                <w:b w:val="0"/>
                <w:kern w:val="2"/>
                <w:sz w:val="18"/>
                <w:szCs w:val="20"/>
              </w:rPr>
            </w:pPr>
            <w:r w:rsidRPr="000D1218">
              <w:rPr>
                <w:rFonts w:cs="Arial"/>
                <w:b w:val="0"/>
                <w:kern w:val="2"/>
                <w:sz w:val="18"/>
                <w:szCs w:val="20"/>
              </w:rPr>
              <w:t>Sequential selection based</w:t>
            </w:r>
          </w:p>
        </w:tc>
        <w:tc>
          <w:tcPr>
            <w:tcW w:w="4111" w:type="dxa"/>
          </w:tcPr>
          <w:p w14:paraId="7655E22B" w14:textId="77777777" w:rsidR="009C5F38" w:rsidRPr="000D1218" w:rsidRDefault="009C5F38" w:rsidP="00F03B15">
            <w:pPr>
              <w:pStyle w:val="TOC1"/>
              <w:numPr>
                <w:ilvl w:val="0"/>
                <w:numId w:val="25"/>
              </w:numPr>
              <w:jc w:val="both"/>
              <w:rPr>
                <w:rFonts w:cs="Arial"/>
                <w:b w:val="0"/>
                <w:kern w:val="2"/>
                <w:sz w:val="18"/>
                <w:szCs w:val="20"/>
              </w:rPr>
            </w:pPr>
            <w:r w:rsidRPr="000D1218">
              <w:rPr>
                <w:rFonts w:cs="Arial"/>
                <w:b w:val="0"/>
                <w:kern w:val="2"/>
                <w:sz w:val="18"/>
                <w:szCs w:val="20"/>
              </w:rPr>
              <w:t xml:space="preserve">First select the strongest beam, from each of the ‘K’ cells to be included in the measurement report. If this do not fill all of ‘X’  beams then select the second strongest beam, from each of the ‘K’ cells to be included in the measurement report. And so on until filling the complete list of ‘X’ beams. </w:t>
            </w:r>
          </w:p>
        </w:tc>
        <w:tc>
          <w:tcPr>
            <w:tcW w:w="4253" w:type="dxa"/>
          </w:tcPr>
          <w:p w14:paraId="57D27053" w14:textId="77777777" w:rsidR="009C5F38" w:rsidRPr="000D1218" w:rsidRDefault="009C5F38" w:rsidP="00F03B15">
            <w:pPr>
              <w:pStyle w:val="TOC1"/>
              <w:numPr>
                <w:ilvl w:val="0"/>
                <w:numId w:val="22"/>
              </w:numPr>
              <w:jc w:val="both"/>
              <w:rPr>
                <w:rFonts w:cs="Arial"/>
                <w:b w:val="0"/>
                <w:kern w:val="2"/>
                <w:sz w:val="18"/>
                <w:szCs w:val="20"/>
              </w:rPr>
            </w:pPr>
            <w:r w:rsidRPr="000D1218">
              <w:rPr>
                <w:rFonts w:cs="Arial"/>
                <w:b w:val="0"/>
                <w:kern w:val="2"/>
                <w:sz w:val="18"/>
                <w:szCs w:val="20"/>
              </w:rPr>
              <w:t>Each cell included in the measurement report is also represented with roughly same number of beam level information.</w:t>
            </w:r>
          </w:p>
          <w:p w14:paraId="3F2BFECA" w14:textId="77777777" w:rsidR="009C5F38" w:rsidRPr="000D1218" w:rsidRDefault="009C5F38" w:rsidP="00F03B15">
            <w:pPr>
              <w:pStyle w:val="TOC1"/>
              <w:ind w:left="0" w:firstLine="0"/>
              <w:jc w:val="both"/>
              <w:rPr>
                <w:rFonts w:cs="Arial"/>
                <w:b w:val="0"/>
                <w:kern w:val="2"/>
                <w:sz w:val="18"/>
                <w:szCs w:val="20"/>
              </w:rPr>
            </w:pPr>
          </w:p>
        </w:tc>
      </w:tr>
    </w:tbl>
    <w:p w14:paraId="4059B2DB" w14:textId="77777777" w:rsidR="009C5F38" w:rsidRDefault="009C5F38" w:rsidP="00B14608">
      <w:pPr>
        <w:pStyle w:val="Caption"/>
        <w:rPr>
          <w:rFonts w:cs="Arial"/>
          <w:b w:val="0"/>
          <w:kern w:val="2"/>
        </w:rPr>
      </w:pPr>
    </w:p>
    <w:p w14:paraId="7724C5E8" w14:textId="7B4258B8" w:rsidR="009C5F38" w:rsidRDefault="009C5F38" w:rsidP="009C5F38">
      <w:pPr>
        <w:pStyle w:val="TOC1"/>
        <w:ind w:left="0" w:firstLine="0"/>
        <w:jc w:val="both"/>
        <w:rPr>
          <w:rFonts w:cs="Arial"/>
          <w:b w:val="0"/>
          <w:kern w:val="2"/>
          <w:szCs w:val="20"/>
        </w:rPr>
      </w:pPr>
      <w:r>
        <w:rPr>
          <w:rFonts w:cs="Arial"/>
          <w:b w:val="0"/>
          <w:kern w:val="2"/>
          <w:szCs w:val="20"/>
        </w:rPr>
        <w:t>There are several ways to chose the ‘X’ beams to reported. These schemes are listed in the table above and their pros and cons are analyzed. Based on the explanation in the table, it seems that selecting at least the best beam from each cell (cells that are included in the measurement report) and then filling the rest of ‘X’ beams from the sorted list of remaining beams from these cells, provides flexibility to the serving cell to chose a target cell from any of the cell included in the measurement report and still providing some beam level information to the target cell for lean CFRA allocation.</w:t>
      </w:r>
    </w:p>
    <w:p w14:paraId="58C93B1C" w14:textId="77777777" w:rsidR="009C5F38" w:rsidRDefault="009C5F38" w:rsidP="009C5F38">
      <w:pPr>
        <w:pStyle w:val="TOC1"/>
        <w:ind w:left="0" w:firstLine="0"/>
        <w:jc w:val="both"/>
        <w:rPr>
          <w:rFonts w:cs="Arial"/>
          <w:b w:val="0"/>
          <w:kern w:val="2"/>
          <w:szCs w:val="20"/>
        </w:rPr>
      </w:pPr>
    </w:p>
    <w:p w14:paraId="3AED7551" w14:textId="42844BFD" w:rsidR="009C5F38" w:rsidRPr="00B26579" w:rsidRDefault="009C5F38" w:rsidP="009C5F38">
      <w:pPr>
        <w:pStyle w:val="Observation"/>
        <w:overflowPunct/>
        <w:autoSpaceDE/>
        <w:autoSpaceDN/>
        <w:adjustRightInd/>
        <w:spacing w:after="160" w:line="259" w:lineRule="auto"/>
        <w:jc w:val="left"/>
        <w:textAlignment w:val="auto"/>
        <w:rPr>
          <w:rFonts w:cs="Arial"/>
        </w:rPr>
      </w:pPr>
      <w:r>
        <w:rPr>
          <w:rFonts w:cs="Arial"/>
        </w:rPr>
        <w:t xml:space="preserve">Including at least the strongest beam </w:t>
      </w:r>
      <w:r w:rsidR="006D64F7">
        <w:rPr>
          <w:rFonts w:cs="Arial"/>
        </w:rPr>
        <w:t>of each of the cell in the measurement report</w:t>
      </w:r>
      <w:r w:rsidRPr="00B26579">
        <w:rPr>
          <w:rFonts w:cs="Arial"/>
        </w:rPr>
        <w:t xml:space="preserve"> </w:t>
      </w:r>
      <w:r w:rsidRPr="00B26579">
        <w:rPr>
          <w:rFonts w:cs="Arial"/>
          <w:kern w:val="2"/>
        </w:rPr>
        <w:t>provides flexibility to the serving cell to cho</w:t>
      </w:r>
      <w:r>
        <w:rPr>
          <w:rFonts w:cs="Arial"/>
          <w:kern w:val="2"/>
        </w:rPr>
        <w:t>o</w:t>
      </w:r>
      <w:r w:rsidRPr="00B26579">
        <w:rPr>
          <w:rFonts w:cs="Arial"/>
          <w:kern w:val="2"/>
        </w:rPr>
        <w:t>se a target cell from any of the cell in the measurement report and still providing some beam level information to the target cell for lean CFRA allocation.</w:t>
      </w:r>
    </w:p>
    <w:p w14:paraId="07D14D66" w14:textId="51900668" w:rsidR="00B14608" w:rsidRDefault="00AB5DB0" w:rsidP="000D1218">
      <w:pPr>
        <w:pStyle w:val="Proposal"/>
      </w:pPr>
      <w:r w:rsidRPr="004B06DA">
        <w:rPr>
          <w:rFonts w:cs="Arial"/>
        </w:rPr>
        <w:t>Beam level informa</w:t>
      </w:r>
      <w:r w:rsidR="005E4AE8" w:rsidRPr="004B06DA">
        <w:rPr>
          <w:rFonts w:cs="Arial"/>
        </w:rPr>
        <w:t>tion included in the measureme</w:t>
      </w:r>
      <w:r w:rsidRPr="004B06DA">
        <w:rPr>
          <w:rFonts w:cs="Arial"/>
        </w:rPr>
        <w:t>nt report contains</w:t>
      </w:r>
      <w:r w:rsidRPr="000D1218">
        <w:rPr>
          <w:rFonts w:cs="Arial"/>
        </w:rPr>
        <w:t xml:space="preserve"> at least the</w:t>
      </w:r>
      <w:r w:rsidR="009C5F38" w:rsidRPr="000D1218">
        <w:rPr>
          <w:rFonts w:cs="Arial"/>
        </w:rPr>
        <w:t xml:space="preserve"> strongest beam </w:t>
      </w:r>
      <w:r w:rsidRPr="000D1218">
        <w:rPr>
          <w:rFonts w:cs="Arial"/>
        </w:rPr>
        <w:t>of each cell in the measurement report</w:t>
      </w:r>
      <w:r w:rsidR="009C5F38" w:rsidRPr="004B06DA">
        <w:rPr>
          <w:rFonts w:cs="Arial"/>
        </w:rPr>
        <w:t xml:space="preserve">. </w:t>
      </w:r>
    </w:p>
    <w:p w14:paraId="6DAAF8C8" w14:textId="77777777" w:rsidR="00C01F33" w:rsidRDefault="00C01F33" w:rsidP="00CE0424">
      <w:pPr>
        <w:pStyle w:val="Heading1"/>
      </w:pPr>
      <w:r w:rsidRPr="00CE0424">
        <w:t>Conclusion</w:t>
      </w:r>
    </w:p>
    <w:p w14:paraId="280A0126" w14:textId="799F8BD5" w:rsidR="004158C2" w:rsidRDefault="004158C2" w:rsidP="00D26B46">
      <w:pPr>
        <w:pStyle w:val="BodyText"/>
      </w:pPr>
      <w:r>
        <w:t>In the previous section, the following has been observed:</w:t>
      </w:r>
    </w:p>
    <w:p w14:paraId="18B2923B" w14:textId="0609178D" w:rsidR="005E4AE8" w:rsidRPr="001578DD" w:rsidRDefault="005E4AE8" w:rsidP="000D1218">
      <w:pPr>
        <w:pStyle w:val="Observation"/>
        <w:numPr>
          <w:ilvl w:val="0"/>
          <w:numId w:val="30"/>
        </w:numPr>
        <w:overflowPunct/>
        <w:autoSpaceDE/>
        <w:autoSpaceDN/>
        <w:adjustRightInd/>
        <w:spacing w:after="160" w:line="257" w:lineRule="auto"/>
        <w:ind w:left="1701" w:hanging="1701"/>
        <w:jc w:val="left"/>
        <w:textAlignment w:val="auto"/>
        <w:rPr>
          <w:rFonts w:cstheme="minorBidi"/>
          <w:szCs w:val="22"/>
        </w:rPr>
      </w:pPr>
      <w:r>
        <w:t>The serving cell could potentially use the information available at the UE regarding the non-triggered cells to improve the handover related decisions.</w:t>
      </w:r>
    </w:p>
    <w:p w14:paraId="126144C1" w14:textId="77777777" w:rsidR="005E4AE8" w:rsidRDefault="005E4AE8" w:rsidP="005E4AE8">
      <w:pPr>
        <w:pStyle w:val="Observation"/>
        <w:numPr>
          <w:ilvl w:val="0"/>
          <w:numId w:val="19"/>
        </w:numPr>
        <w:overflowPunct/>
        <w:autoSpaceDE/>
        <w:autoSpaceDN/>
        <w:adjustRightInd/>
        <w:spacing w:after="160" w:line="256" w:lineRule="auto"/>
        <w:ind w:left="1701" w:hanging="1701"/>
        <w:jc w:val="left"/>
        <w:textAlignment w:val="auto"/>
        <w:rPr>
          <w:rFonts w:cstheme="minorBidi"/>
          <w:szCs w:val="22"/>
        </w:rPr>
      </w:pPr>
      <w:r>
        <w:rPr>
          <w:rFonts w:cstheme="minorBidi"/>
          <w:szCs w:val="22"/>
        </w:rPr>
        <w:t>The purpose of including the beam level measurements in the measurement report is to aid the target cell in allocating random access resources efficiently.</w:t>
      </w:r>
    </w:p>
    <w:p w14:paraId="37B8C3F2" w14:textId="77777777" w:rsidR="005E4AE8" w:rsidRPr="00B26579" w:rsidRDefault="005E4AE8" w:rsidP="005E4AE8">
      <w:pPr>
        <w:pStyle w:val="Observation"/>
        <w:overflowPunct/>
        <w:autoSpaceDE/>
        <w:autoSpaceDN/>
        <w:adjustRightInd/>
        <w:spacing w:after="160" w:line="259" w:lineRule="auto"/>
        <w:jc w:val="left"/>
        <w:textAlignment w:val="auto"/>
        <w:rPr>
          <w:rFonts w:cs="Arial"/>
        </w:rPr>
      </w:pPr>
      <w:r>
        <w:rPr>
          <w:rFonts w:cs="Arial"/>
        </w:rPr>
        <w:t>Including at least the strongest beam of each of the cell in the measurement report</w:t>
      </w:r>
      <w:r w:rsidRPr="00B26579">
        <w:rPr>
          <w:rFonts w:cs="Arial"/>
        </w:rPr>
        <w:t xml:space="preserve"> </w:t>
      </w:r>
      <w:r w:rsidRPr="00B26579">
        <w:rPr>
          <w:rFonts w:cs="Arial"/>
          <w:kern w:val="2"/>
        </w:rPr>
        <w:t>provides flexibility to the serving cell to cho</w:t>
      </w:r>
      <w:r>
        <w:rPr>
          <w:rFonts w:cs="Arial"/>
          <w:kern w:val="2"/>
        </w:rPr>
        <w:t>o</w:t>
      </w:r>
      <w:r w:rsidRPr="00B26579">
        <w:rPr>
          <w:rFonts w:cs="Arial"/>
          <w:kern w:val="2"/>
        </w:rPr>
        <w:t>se a target cell from any of the cell in the measurement report and still providing some beam level information to the target cell for lean CFRA allocation.</w:t>
      </w:r>
    </w:p>
    <w:p w14:paraId="4F1738F2" w14:textId="21E906A9" w:rsidR="00563637" w:rsidRDefault="004158C2" w:rsidP="002F57AD">
      <w:pPr>
        <w:pStyle w:val="BodyText"/>
      </w:pPr>
      <w:r>
        <w:lastRenderedPageBreak/>
        <w:t>Based on these observations, we have proposed the following:</w:t>
      </w:r>
    </w:p>
    <w:p w14:paraId="4DB9CBE5" w14:textId="065929DA" w:rsidR="002F1A03" w:rsidRDefault="004A6EA3" w:rsidP="000D1218">
      <w:pPr>
        <w:pStyle w:val="Proposal"/>
        <w:numPr>
          <w:ilvl w:val="0"/>
          <w:numId w:val="32"/>
        </w:numPr>
        <w:overflowPunct/>
        <w:autoSpaceDE/>
        <w:autoSpaceDN/>
        <w:adjustRightInd/>
        <w:spacing w:after="160" w:line="257" w:lineRule="auto"/>
        <w:ind w:left="1701" w:hanging="1701"/>
        <w:jc w:val="left"/>
        <w:textAlignment w:val="auto"/>
      </w:pPr>
      <w:r>
        <w:t>Network can configure the UE to i</w:t>
      </w:r>
      <w:r w:rsidR="002F1A03">
        <w:t xml:space="preserve">nclude the cells in the </w:t>
      </w:r>
      <w:r w:rsidR="002F1A03" w:rsidRPr="00412AB4">
        <w:rPr>
          <w:i/>
        </w:rPr>
        <w:t>cellsTrigeredList</w:t>
      </w:r>
      <w:r w:rsidR="002F1A03" w:rsidRPr="004C5D05">
        <w:t xml:space="preserve"> </w:t>
      </w:r>
      <w:r w:rsidR="002F1A03">
        <w:t xml:space="preserve">until </w:t>
      </w:r>
      <w:r w:rsidR="002F1A03" w:rsidRPr="00412AB4">
        <w:rPr>
          <w:i/>
        </w:rPr>
        <w:t>maxReportCells</w:t>
      </w:r>
      <w:r w:rsidR="002F1A03">
        <w:t xml:space="preserve"> is filled up.</w:t>
      </w:r>
    </w:p>
    <w:p w14:paraId="52D2970E" w14:textId="4A057080" w:rsidR="001578DD" w:rsidRDefault="001578DD" w:rsidP="001578DD">
      <w:pPr>
        <w:pStyle w:val="Proposal"/>
        <w:numPr>
          <w:ilvl w:val="0"/>
          <w:numId w:val="18"/>
        </w:numPr>
        <w:tabs>
          <w:tab w:val="clear" w:pos="1304"/>
        </w:tabs>
        <w:overflowPunct/>
        <w:autoSpaceDE/>
        <w:autoSpaceDN/>
        <w:adjustRightInd/>
        <w:spacing w:after="160" w:line="257" w:lineRule="auto"/>
        <w:ind w:left="1701" w:hanging="1701"/>
        <w:jc w:val="left"/>
        <w:textAlignment w:val="auto"/>
      </w:pPr>
      <w:r>
        <w:t xml:space="preserve">If the number of cells in the </w:t>
      </w:r>
      <w:r w:rsidRPr="00F03B15">
        <w:rPr>
          <w:i/>
        </w:rPr>
        <w:t>cellsTrigeredList</w:t>
      </w:r>
      <w:r w:rsidRPr="004C5D05">
        <w:t xml:space="preserve"> </w:t>
      </w:r>
      <w:r>
        <w:t xml:space="preserve">is less than </w:t>
      </w:r>
      <w:r w:rsidRPr="00F03B15">
        <w:rPr>
          <w:i/>
        </w:rPr>
        <w:t>maxReportCells</w:t>
      </w:r>
      <w:r>
        <w:t xml:space="preserve">, include other cells also in the measurement report until </w:t>
      </w:r>
      <w:r w:rsidRPr="00F03B15">
        <w:rPr>
          <w:i/>
        </w:rPr>
        <w:t>maxReportCells</w:t>
      </w:r>
      <w:r>
        <w:t xml:space="preserve"> is filled up.</w:t>
      </w:r>
    </w:p>
    <w:p w14:paraId="73F9DC75" w14:textId="77777777" w:rsidR="001578DD" w:rsidRDefault="001578DD" w:rsidP="001578DD">
      <w:pPr>
        <w:pStyle w:val="Proposal"/>
        <w:numPr>
          <w:ilvl w:val="2"/>
          <w:numId w:val="18"/>
        </w:numPr>
        <w:overflowPunct/>
        <w:autoSpaceDE/>
        <w:autoSpaceDN/>
        <w:adjustRightInd/>
        <w:spacing w:after="160" w:line="257" w:lineRule="auto"/>
        <w:jc w:val="left"/>
        <w:textAlignment w:val="auto"/>
      </w:pPr>
      <w:r>
        <w:t xml:space="preserve">It is FFS as to how the cells other than the ones in the </w:t>
      </w:r>
      <w:r w:rsidRPr="00F03B15">
        <w:rPr>
          <w:i/>
        </w:rPr>
        <w:t>cellsTrigeredList</w:t>
      </w:r>
      <w:r>
        <w:t xml:space="preserve"> are selected.</w:t>
      </w:r>
    </w:p>
    <w:p w14:paraId="0BB59151" w14:textId="538B75AE" w:rsidR="005E4AE8" w:rsidRDefault="001578DD" w:rsidP="000D1218">
      <w:pPr>
        <w:pStyle w:val="Proposal"/>
        <w:numPr>
          <w:ilvl w:val="2"/>
          <w:numId w:val="18"/>
        </w:numPr>
        <w:overflowPunct/>
        <w:autoSpaceDE/>
        <w:autoSpaceDN/>
        <w:adjustRightInd/>
        <w:spacing w:after="160" w:line="256" w:lineRule="auto"/>
        <w:jc w:val="left"/>
        <w:textAlignment w:val="auto"/>
      </w:pPr>
      <w:r>
        <w:t xml:space="preserve">It is FFS as to whether network can configure the UE to include more than just the </w:t>
      </w:r>
      <w:r w:rsidRPr="00F03B15">
        <w:rPr>
          <w:i/>
        </w:rPr>
        <w:t>cellsTrigeredList</w:t>
      </w:r>
      <w:r>
        <w:rPr>
          <w:i/>
        </w:rPr>
        <w:t xml:space="preserve"> </w:t>
      </w:r>
      <w:r>
        <w:t>in the measurement report.</w:t>
      </w:r>
    </w:p>
    <w:p w14:paraId="0B8BECB2" w14:textId="5E3AE398" w:rsidR="008B6D83" w:rsidRPr="000D1218" w:rsidRDefault="005E4AE8" w:rsidP="000D1218">
      <w:pPr>
        <w:pStyle w:val="Proposal"/>
      </w:pPr>
      <w:r w:rsidRPr="00F03B15">
        <w:rPr>
          <w:rFonts w:cs="Arial"/>
        </w:rPr>
        <w:t xml:space="preserve">Beam level information included in the measurement report contains at least the strongest beam of each cell in the measurement report. </w:t>
      </w:r>
      <w:bookmarkStart w:id="2" w:name="_In-sequence_SDU_delivery"/>
      <w:bookmarkStart w:id="3" w:name="_GoBack"/>
      <w:bookmarkEnd w:id="2"/>
      <w:bookmarkEnd w:id="3"/>
    </w:p>
    <w:sectPr w:rsidR="008B6D83" w:rsidRPr="000D121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7ACB8" w14:textId="77777777" w:rsidR="00561920" w:rsidRDefault="00561920">
      <w:r>
        <w:separator/>
      </w:r>
    </w:p>
  </w:endnote>
  <w:endnote w:type="continuationSeparator" w:id="0">
    <w:p w14:paraId="4B7CEAB2" w14:textId="77777777" w:rsidR="00561920" w:rsidRDefault="00561920">
      <w:r>
        <w:continuationSeparator/>
      </w:r>
    </w:p>
  </w:endnote>
  <w:endnote w:type="continuationNotice" w:id="1">
    <w:p w14:paraId="68A040C5" w14:textId="77777777" w:rsidR="00561920" w:rsidRDefault="00561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22144226" w:rsidR="009A47FF" w:rsidRDefault="009A47F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D121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121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85E9F" w14:textId="77777777" w:rsidR="00561920" w:rsidRDefault="00561920">
      <w:r>
        <w:separator/>
      </w:r>
    </w:p>
  </w:footnote>
  <w:footnote w:type="continuationSeparator" w:id="0">
    <w:p w14:paraId="6E198763" w14:textId="77777777" w:rsidR="00561920" w:rsidRDefault="00561920">
      <w:r>
        <w:continuationSeparator/>
      </w:r>
    </w:p>
  </w:footnote>
  <w:footnote w:type="continuationNotice" w:id="1">
    <w:p w14:paraId="1534D3CA" w14:textId="77777777" w:rsidR="00561920" w:rsidRDefault="00561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9A47FF" w:rsidRDefault="009A47F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A26486"/>
    <w:multiLevelType w:val="hybridMultilevel"/>
    <w:tmpl w:val="5DD66384"/>
    <w:lvl w:ilvl="0" w:tplc="7B0E2D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4616D"/>
    <w:multiLevelType w:val="hybridMultilevel"/>
    <w:tmpl w:val="A6D6EE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D65698F"/>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9E7724"/>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320F83"/>
    <w:multiLevelType w:val="hybridMultilevel"/>
    <w:tmpl w:val="5E6A62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C8292C"/>
    <w:multiLevelType w:val="hybridMultilevel"/>
    <w:tmpl w:val="8996A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067F3F"/>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2" w15:restartNumberingAfterBreak="0">
    <w:nsid w:val="7ACB1FBA"/>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3"/>
  </w:num>
  <w:num w:numId="2">
    <w:abstractNumId w:val="14"/>
  </w:num>
  <w:num w:numId="3">
    <w:abstractNumId w:val="10"/>
  </w:num>
  <w:num w:numId="4">
    <w:abstractNumId w:val="11"/>
  </w:num>
  <w:num w:numId="5">
    <w:abstractNumId w:val="8"/>
  </w:num>
  <w:num w:numId="6">
    <w:abstractNumId w:val="12"/>
  </w:num>
  <w:num w:numId="7">
    <w:abstractNumId w:val="17"/>
  </w:num>
  <w:num w:numId="8">
    <w:abstractNumId w:val="9"/>
  </w:num>
  <w:num w:numId="9">
    <w:abstractNumId w:val="15"/>
  </w:num>
  <w:num w:numId="10">
    <w:abstractNumId w:val="20"/>
  </w:num>
  <w:num w:numId="11">
    <w:abstractNumId w:val="21"/>
  </w:num>
  <w:num w:numId="12">
    <w:abstractNumId w:val="18"/>
  </w:num>
  <w:num w:numId="13">
    <w:abstractNumId w:val="13"/>
  </w:num>
  <w:num w:numId="14">
    <w:abstractNumId w:val="22"/>
  </w:num>
  <w:num w:numId="15">
    <w:abstractNumId w:val="6"/>
  </w:num>
  <w:num w:numId="16">
    <w:abstractNumId w:val="19"/>
  </w:num>
  <w:num w:numId="17">
    <w:abstractNumId w:val="7"/>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num>
  <w:num w:numId="21">
    <w:abstractNumId w:val="10"/>
    <w:lvlOverride w:ilvl="0">
      <w:startOverride w:val="1"/>
    </w:lvlOverride>
  </w:num>
  <w:num w:numId="22">
    <w:abstractNumId w:val="16"/>
  </w:num>
  <w:num w:numId="23">
    <w:abstractNumId w:val="15"/>
    <w:lvlOverride w:ilvl="0">
      <w:startOverride w:val="1"/>
    </w:lvlOverride>
  </w:num>
  <w:num w:numId="24">
    <w:abstractNumId w:val="10"/>
    <w:lvlOverride w:ilvl="0">
      <w:startOverride w:val="1"/>
    </w:lvlOverride>
  </w:num>
  <w:num w:numId="25">
    <w:abstractNumId w:val="5"/>
  </w:num>
  <w:num w:numId="26">
    <w:abstractNumId w:val="2"/>
  </w:num>
  <w:num w:numId="27">
    <w:abstractNumId w:val="1"/>
  </w:num>
  <w:num w:numId="28">
    <w:abstractNumId w:val="0"/>
  </w:num>
  <w:num w:numId="29">
    <w:abstractNumId w:val="4"/>
  </w:num>
  <w:num w:numId="30">
    <w:abstractNumId w:val="15"/>
    <w:lvlOverride w:ilvl="0">
      <w:startOverride w:val="1"/>
    </w:lvlOverride>
  </w:num>
  <w:num w:numId="31">
    <w:abstractNumId w:val="10"/>
    <w:lvlOverride w:ilvl="0">
      <w:startOverride w:val="1"/>
    </w:lvlOverride>
  </w:num>
  <w:num w:numId="32">
    <w:abstractNumId w:val="10"/>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A6E"/>
    <w:rsid w:val="00011B28"/>
    <w:rsid w:val="00012E0A"/>
    <w:rsid w:val="00015D15"/>
    <w:rsid w:val="00016BB8"/>
    <w:rsid w:val="00024D29"/>
    <w:rsid w:val="0002564D"/>
    <w:rsid w:val="00025ECA"/>
    <w:rsid w:val="00027939"/>
    <w:rsid w:val="0003222E"/>
    <w:rsid w:val="000325B8"/>
    <w:rsid w:val="00034C15"/>
    <w:rsid w:val="00036BA1"/>
    <w:rsid w:val="000376BC"/>
    <w:rsid w:val="000422E2"/>
    <w:rsid w:val="0004243D"/>
    <w:rsid w:val="00042F22"/>
    <w:rsid w:val="000444EF"/>
    <w:rsid w:val="0004676E"/>
    <w:rsid w:val="0005087B"/>
    <w:rsid w:val="00052A07"/>
    <w:rsid w:val="000534E3"/>
    <w:rsid w:val="0005461B"/>
    <w:rsid w:val="0005606A"/>
    <w:rsid w:val="00057117"/>
    <w:rsid w:val="000616E7"/>
    <w:rsid w:val="0006487E"/>
    <w:rsid w:val="00065E1A"/>
    <w:rsid w:val="00072023"/>
    <w:rsid w:val="00077E5F"/>
    <w:rsid w:val="0008036A"/>
    <w:rsid w:val="00081AE6"/>
    <w:rsid w:val="00081D62"/>
    <w:rsid w:val="00081EB3"/>
    <w:rsid w:val="000834F6"/>
    <w:rsid w:val="00083CA3"/>
    <w:rsid w:val="000855EB"/>
    <w:rsid w:val="00085B52"/>
    <w:rsid w:val="00085CCC"/>
    <w:rsid w:val="000866F2"/>
    <w:rsid w:val="000874F4"/>
    <w:rsid w:val="0009009F"/>
    <w:rsid w:val="00091557"/>
    <w:rsid w:val="000924C1"/>
    <w:rsid w:val="000924F0"/>
    <w:rsid w:val="00092A72"/>
    <w:rsid w:val="00092FE3"/>
    <w:rsid w:val="00093474"/>
    <w:rsid w:val="0009510F"/>
    <w:rsid w:val="000A0CA2"/>
    <w:rsid w:val="000A1B7B"/>
    <w:rsid w:val="000A56F2"/>
    <w:rsid w:val="000B010B"/>
    <w:rsid w:val="000B0499"/>
    <w:rsid w:val="000B2719"/>
    <w:rsid w:val="000B3A8F"/>
    <w:rsid w:val="000B4AB9"/>
    <w:rsid w:val="000B4E34"/>
    <w:rsid w:val="000B58C3"/>
    <w:rsid w:val="000B61E9"/>
    <w:rsid w:val="000C165A"/>
    <w:rsid w:val="000C2E19"/>
    <w:rsid w:val="000C5636"/>
    <w:rsid w:val="000C6BC7"/>
    <w:rsid w:val="000D0D07"/>
    <w:rsid w:val="000D1218"/>
    <w:rsid w:val="000D1B45"/>
    <w:rsid w:val="000D326B"/>
    <w:rsid w:val="000D32A1"/>
    <w:rsid w:val="000D4797"/>
    <w:rsid w:val="000D55DA"/>
    <w:rsid w:val="000D67BD"/>
    <w:rsid w:val="000D7FFD"/>
    <w:rsid w:val="000E0527"/>
    <w:rsid w:val="000E1E38"/>
    <w:rsid w:val="000E1E92"/>
    <w:rsid w:val="000E461A"/>
    <w:rsid w:val="000F06D6"/>
    <w:rsid w:val="000F0EB1"/>
    <w:rsid w:val="000F1106"/>
    <w:rsid w:val="000F3BE9"/>
    <w:rsid w:val="000F3F6C"/>
    <w:rsid w:val="000F6A1E"/>
    <w:rsid w:val="000F6DF3"/>
    <w:rsid w:val="001005FF"/>
    <w:rsid w:val="00102971"/>
    <w:rsid w:val="001062FB"/>
    <w:rsid w:val="001063E6"/>
    <w:rsid w:val="00110B33"/>
    <w:rsid w:val="00113134"/>
    <w:rsid w:val="00113CF4"/>
    <w:rsid w:val="001153EA"/>
    <w:rsid w:val="00115643"/>
    <w:rsid w:val="00116765"/>
    <w:rsid w:val="00120CD4"/>
    <w:rsid w:val="001219F5"/>
    <w:rsid w:val="00121A20"/>
    <w:rsid w:val="00121B35"/>
    <w:rsid w:val="001227E4"/>
    <w:rsid w:val="00122F2E"/>
    <w:rsid w:val="00123169"/>
    <w:rsid w:val="0012377F"/>
    <w:rsid w:val="00123AAB"/>
    <w:rsid w:val="00124314"/>
    <w:rsid w:val="00126B4A"/>
    <w:rsid w:val="00132FD0"/>
    <w:rsid w:val="0013363F"/>
    <w:rsid w:val="001344C0"/>
    <w:rsid w:val="001346FA"/>
    <w:rsid w:val="00135252"/>
    <w:rsid w:val="00135824"/>
    <w:rsid w:val="00137514"/>
    <w:rsid w:val="00137AB5"/>
    <w:rsid w:val="00137CFE"/>
    <w:rsid w:val="00137F0B"/>
    <w:rsid w:val="00140978"/>
    <w:rsid w:val="0014098E"/>
    <w:rsid w:val="0014176F"/>
    <w:rsid w:val="0014294C"/>
    <w:rsid w:val="0014650D"/>
    <w:rsid w:val="00151E23"/>
    <w:rsid w:val="001526E0"/>
    <w:rsid w:val="001551B5"/>
    <w:rsid w:val="001578DD"/>
    <w:rsid w:val="00157996"/>
    <w:rsid w:val="001643A8"/>
    <w:rsid w:val="001652E5"/>
    <w:rsid w:val="0016591E"/>
    <w:rsid w:val="001659C1"/>
    <w:rsid w:val="00173995"/>
    <w:rsid w:val="00173A8E"/>
    <w:rsid w:val="00177795"/>
    <w:rsid w:val="0018143F"/>
    <w:rsid w:val="00182B1A"/>
    <w:rsid w:val="00183EE0"/>
    <w:rsid w:val="00185DCF"/>
    <w:rsid w:val="001861E9"/>
    <w:rsid w:val="00190AC1"/>
    <w:rsid w:val="0019242C"/>
    <w:rsid w:val="0019341A"/>
    <w:rsid w:val="001959B4"/>
    <w:rsid w:val="00196B5E"/>
    <w:rsid w:val="00197DF9"/>
    <w:rsid w:val="001A15B6"/>
    <w:rsid w:val="001A18B5"/>
    <w:rsid w:val="001A1987"/>
    <w:rsid w:val="001A2564"/>
    <w:rsid w:val="001A2D48"/>
    <w:rsid w:val="001A3194"/>
    <w:rsid w:val="001A6173"/>
    <w:rsid w:val="001A6CBA"/>
    <w:rsid w:val="001B0D97"/>
    <w:rsid w:val="001B148F"/>
    <w:rsid w:val="001B18F7"/>
    <w:rsid w:val="001B2C40"/>
    <w:rsid w:val="001B30E4"/>
    <w:rsid w:val="001B4D93"/>
    <w:rsid w:val="001B5A5D"/>
    <w:rsid w:val="001B5D49"/>
    <w:rsid w:val="001C1CE5"/>
    <w:rsid w:val="001C3D2A"/>
    <w:rsid w:val="001C5462"/>
    <w:rsid w:val="001C6495"/>
    <w:rsid w:val="001D0271"/>
    <w:rsid w:val="001D274A"/>
    <w:rsid w:val="001D51BA"/>
    <w:rsid w:val="001D6307"/>
    <w:rsid w:val="001D6342"/>
    <w:rsid w:val="001D6D53"/>
    <w:rsid w:val="001E0A77"/>
    <w:rsid w:val="001E310E"/>
    <w:rsid w:val="001E58E2"/>
    <w:rsid w:val="001E755D"/>
    <w:rsid w:val="001E7AED"/>
    <w:rsid w:val="001F0FF7"/>
    <w:rsid w:val="001F37E5"/>
    <w:rsid w:val="001F3916"/>
    <w:rsid w:val="001F54C5"/>
    <w:rsid w:val="001F5C52"/>
    <w:rsid w:val="001F662C"/>
    <w:rsid w:val="001F7074"/>
    <w:rsid w:val="001F72FE"/>
    <w:rsid w:val="001F74A2"/>
    <w:rsid w:val="00200490"/>
    <w:rsid w:val="00201F3A"/>
    <w:rsid w:val="00203F96"/>
    <w:rsid w:val="00204372"/>
    <w:rsid w:val="00204C6E"/>
    <w:rsid w:val="002069B2"/>
    <w:rsid w:val="00207FA3"/>
    <w:rsid w:val="0021129E"/>
    <w:rsid w:val="002113AD"/>
    <w:rsid w:val="00214DA8"/>
    <w:rsid w:val="00215423"/>
    <w:rsid w:val="002158FA"/>
    <w:rsid w:val="00216201"/>
    <w:rsid w:val="002176CE"/>
    <w:rsid w:val="00220600"/>
    <w:rsid w:val="002224DB"/>
    <w:rsid w:val="00223FCB"/>
    <w:rsid w:val="002252C3"/>
    <w:rsid w:val="00225C54"/>
    <w:rsid w:val="00225D2F"/>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77E"/>
    <w:rsid w:val="00257C9E"/>
    <w:rsid w:val="00257D31"/>
    <w:rsid w:val="00260DA4"/>
    <w:rsid w:val="002617E7"/>
    <w:rsid w:val="00261FC8"/>
    <w:rsid w:val="00264228"/>
    <w:rsid w:val="00264334"/>
    <w:rsid w:val="0026473E"/>
    <w:rsid w:val="00266214"/>
    <w:rsid w:val="00267C83"/>
    <w:rsid w:val="002701FA"/>
    <w:rsid w:val="002705DE"/>
    <w:rsid w:val="0027144F"/>
    <w:rsid w:val="00271F3A"/>
    <w:rsid w:val="00271F87"/>
    <w:rsid w:val="00272653"/>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1C"/>
    <w:rsid w:val="002A2869"/>
    <w:rsid w:val="002A2DEE"/>
    <w:rsid w:val="002B0D3E"/>
    <w:rsid w:val="002B223F"/>
    <w:rsid w:val="002B24D6"/>
    <w:rsid w:val="002B688A"/>
    <w:rsid w:val="002C1899"/>
    <w:rsid w:val="002C41E6"/>
    <w:rsid w:val="002C5255"/>
    <w:rsid w:val="002C5F0E"/>
    <w:rsid w:val="002D071A"/>
    <w:rsid w:val="002D0D07"/>
    <w:rsid w:val="002D34B2"/>
    <w:rsid w:val="002D7637"/>
    <w:rsid w:val="002E17F2"/>
    <w:rsid w:val="002E38A0"/>
    <w:rsid w:val="002E3EA2"/>
    <w:rsid w:val="002E7CAE"/>
    <w:rsid w:val="002F0BA2"/>
    <w:rsid w:val="002F1A03"/>
    <w:rsid w:val="002F2734"/>
    <w:rsid w:val="002F2771"/>
    <w:rsid w:val="002F37A9"/>
    <w:rsid w:val="002F57AD"/>
    <w:rsid w:val="00301CE6"/>
    <w:rsid w:val="0030256B"/>
    <w:rsid w:val="00303BD7"/>
    <w:rsid w:val="0030435A"/>
    <w:rsid w:val="0030501F"/>
    <w:rsid w:val="003065F6"/>
    <w:rsid w:val="00307BA1"/>
    <w:rsid w:val="003114F4"/>
    <w:rsid w:val="00311702"/>
    <w:rsid w:val="00311E82"/>
    <w:rsid w:val="00312FF4"/>
    <w:rsid w:val="00313FD6"/>
    <w:rsid w:val="003143BD"/>
    <w:rsid w:val="00317BF8"/>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2EB3"/>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97595"/>
    <w:rsid w:val="0039766A"/>
    <w:rsid w:val="003A2223"/>
    <w:rsid w:val="003A2A0F"/>
    <w:rsid w:val="003A45A1"/>
    <w:rsid w:val="003A5B0A"/>
    <w:rsid w:val="003A6BAC"/>
    <w:rsid w:val="003A7EF3"/>
    <w:rsid w:val="003B05AF"/>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34E1"/>
    <w:rsid w:val="003E4F17"/>
    <w:rsid w:val="003E55E4"/>
    <w:rsid w:val="003E74E3"/>
    <w:rsid w:val="003E7B80"/>
    <w:rsid w:val="003F01DB"/>
    <w:rsid w:val="003F05C7"/>
    <w:rsid w:val="003F11B0"/>
    <w:rsid w:val="003F24D7"/>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1734"/>
    <w:rsid w:val="0041263E"/>
    <w:rsid w:val="00412AB4"/>
    <w:rsid w:val="00413AAC"/>
    <w:rsid w:val="004158C2"/>
    <w:rsid w:val="00417D9F"/>
    <w:rsid w:val="00420C1F"/>
    <w:rsid w:val="00421105"/>
    <w:rsid w:val="004242F4"/>
    <w:rsid w:val="00427248"/>
    <w:rsid w:val="00437447"/>
    <w:rsid w:val="00437EBE"/>
    <w:rsid w:val="00441A92"/>
    <w:rsid w:val="00444F56"/>
    <w:rsid w:val="00446488"/>
    <w:rsid w:val="00450CCE"/>
    <w:rsid w:val="004517AA"/>
    <w:rsid w:val="00452CAC"/>
    <w:rsid w:val="00452E79"/>
    <w:rsid w:val="00455AD1"/>
    <w:rsid w:val="00457565"/>
    <w:rsid w:val="00457B71"/>
    <w:rsid w:val="004603F5"/>
    <w:rsid w:val="00465F3A"/>
    <w:rsid w:val="004669E2"/>
    <w:rsid w:val="00470C31"/>
    <w:rsid w:val="004734D0"/>
    <w:rsid w:val="0047556B"/>
    <w:rsid w:val="00477768"/>
    <w:rsid w:val="0048146E"/>
    <w:rsid w:val="00481E54"/>
    <w:rsid w:val="00485A23"/>
    <w:rsid w:val="00492BC5"/>
    <w:rsid w:val="004964F1"/>
    <w:rsid w:val="0049763D"/>
    <w:rsid w:val="004A0199"/>
    <w:rsid w:val="004A07A0"/>
    <w:rsid w:val="004A16BC"/>
    <w:rsid w:val="004A2B94"/>
    <w:rsid w:val="004A6EA3"/>
    <w:rsid w:val="004A7A8C"/>
    <w:rsid w:val="004B06DA"/>
    <w:rsid w:val="004B7C0C"/>
    <w:rsid w:val="004C108A"/>
    <w:rsid w:val="004C1B75"/>
    <w:rsid w:val="004C2F28"/>
    <w:rsid w:val="004C3898"/>
    <w:rsid w:val="004C41AE"/>
    <w:rsid w:val="004C5D05"/>
    <w:rsid w:val="004D14C0"/>
    <w:rsid w:val="004D36B1"/>
    <w:rsid w:val="004D44BF"/>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53CD"/>
    <w:rsid w:val="0055635A"/>
    <w:rsid w:val="0055719E"/>
    <w:rsid w:val="0056121F"/>
    <w:rsid w:val="00561920"/>
    <w:rsid w:val="00563637"/>
    <w:rsid w:val="00571181"/>
    <w:rsid w:val="00572505"/>
    <w:rsid w:val="005748D4"/>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4AE8"/>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6DB6"/>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47D0"/>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1ACE"/>
    <w:rsid w:val="00672178"/>
    <w:rsid w:val="0067218F"/>
    <w:rsid w:val="006741F2"/>
    <w:rsid w:val="00674A25"/>
    <w:rsid w:val="00674CC3"/>
    <w:rsid w:val="00675C72"/>
    <w:rsid w:val="00675F65"/>
    <w:rsid w:val="006771F9"/>
    <w:rsid w:val="006776D7"/>
    <w:rsid w:val="00681003"/>
    <w:rsid w:val="006817C9"/>
    <w:rsid w:val="00683ECE"/>
    <w:rsid w:val="00684459"/>
    <w:rsid w:val="00685B03"/>
    <w:rsid w:val="0069133C"/>
    <w:rsid w:val="006938BB"/>
    <w:rsid w:val="00695FC2"/>
    <w:rsid w:val="00696949"/>
    <w:rsid w:val="00697052"/>
    <w:rsid w:val="006A0410"/>
    <w:rsid w:val="006A1E71"/>
    <w:rsid w:val="006A3B4F"/>
    <w:rsid w:val="006A46FB"/>
    <w:rsid w:val="006A5E28"/>
    <w:rsid w:val="006A697B"/>
    <w:rsid w:val="006A7AFF"/>
    <w:rsid w:val="006B1816"/>
    <w:rsid w:val="006B2099"/>
    <w:rsid w:val="006B39F6"/>
    <w:rsid w:val="006B50CF"/>
    <w:rsid w:val="006C012D"/>
    <w:rsid w:val="006C03B8"/>
    <w:rsid w:val="006C2176"/>
    <w:rsid w:val="006C42D8"/>
    <w:rsid w:val="006C5EC9"/>
    <w:rsid w:val="006C6059"/>
    <w:rsid w:val="006C7391"/>
    <w:rsid w:val="006C7522"/>
    <w:rsid w:val="006D3F93"/>
    <w:rsid w:val="006D64F7"/>
    <w:rsid w:val="006D6F08"/>
    <w:rsid w:val="006D7178"/>
    <w:rsid w:val="006E062C"/>
    <w:rsid w:val="006E28B7"/>
    <w:rsid w:val="006E3310"/>
    <w:rsid w:val="006E4AA6"/>
    <w:rsid w:val="006E4E39"/>
    <w:rsid w:val="006E565E"/>
    <w:rsid w:val="006E6718"/>
    <w:rsid w:val="006E673D"/>
    <w:rsid w:val="006E7D3B"/>
    <w:rsid w:val="006F1B70"/>
    <w:rsid w:val="006F33F5"/>
    <w:rsid w:val="006F341D"/>
    <w:rsid w:val="006F3CDE"/>
    <w:rsid w:val="006F58D4"/>
    <w:rsid w:val="006F6603"/>
    <w:rsid w:val="007032B8"/>
    <w:rsid w:val="0070346E"/>
    <w:rsid w:val="00704EDB"/>
    <w:rsid w:val="0070537F"/>
    <w:rsid w:val="00706101"/>
    <w:rsid w:val="00707072"/>
    <w:rsid w:val="007075A7"/>
    <w:rsid w:val="00707D61"/>
    <w:rsid w:val="00710D38"/>
    <w:rsid w:val="00711C83"/>
    <w:rsid w:val="00712287"/>
    <w:rsid w:val="00712562"/>
    <w:rsid w:val="00712772"/>
    <w:rsid w:val="0071485A"/>
    <w:rsid w:val="007148D3"/>
    <w:rsid w:val="007149C1"/>
    <w:rsid w:val="00715648"/>
    <w:rsid w:val="00715B9A"/>
    <w:rsid w:val="00715DF1"/>
    <w:rsid w:val="00721593"/>
    <w:rsid w:val="0072595C"/>
    <w:rsid w:val="00726EA6"/>
    <w:rsid w:val="00727208"/>
    <w:rsid w:val="00727680"/>
    <w:rsid w:val="00727F0A"/>
    <w:rsid w:val="00727F9E"/>
    <w:rsid w:val="00733860"/>
    <w:rsid w:val="007348B1"/>
    <w:rsid w:val="00734B23"/>
    <w:rsid w:val="007362A6"/>
    <w:rsid w:val="00736D7D"/>
    <w:rsid w:val="00737922"/>
    <w:rsid w:val="00740E58"/>
    <w:rsid w:val="007445A0"/>
    <w:rsid w:val="0074524B"/>
    <w:rsid w:val="00746B86"/>
    <w:rsid w:val="00747D8B"/>
    <w:rsid w:val="00751228"/>
    <w:rsid w:val="00751613"/>
    <w:rsid w:val="00752C9C"/>
    <w:rsid w:val="00755CB6"/>
    <w:rsid w:val="007560C0"/>
    <w:rsid w:val="007571E1"/>
    <w:rsid w:val="007604B2"/>
    <w:rsid w:val="00765281"/>
    <w:rsid w:val="00766BAD"/>
    <w:rsid w:val="00767292"/>
    <w:rsid w:val="007730BD"/>
    <w:rsid w:val="007740A0"/>
    <w:rsid w:val="007755F2"/>
    <w:rsid w:val="00776971"/>
    <w:rsid w:val="0078177E"/>
    <w:rsid w:val="0078304C"/>
    <w:rsid w:val="00783673"/>
    <w:rsid w:val="00784F75"/>
    <w:rsid w:val="00785490"/>
    <w:rsid w:val="0078648D"/>
    <w:rsid w:val="00787795"/>
    <w:rsid w:val="0079184B"/>
    <w:rsid w:val="007925EA"/>
    <w:rsid w:val="00793CD8"/>
    <w:rsid w:val="007956D3"/>
    <w:rsid w:val="00795C38"/>
    <w:rsid w:val="00795C92"/>
    <w:rsid w:val="00795E5E"/>
    <w:rsid w:val="00796231"/>
    <w:rsid w:val="00796A79"/>
    <w:rsid w:val="007A1CB3"/>
    <w:rsid w:val="007A306F"/>
    <w:rsid w:val="007A43A6"/>
    <w:rsid w:val="007A58A6"/>
    <w:rsid w:val="007A6E14"/>
    <w:rsid w:val="007A737E"/>
    <w:rsid w:val="007B1DBB"/>
    <w:rsid w:val="007B2A00"/>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4C7E"/>
    <w:rsid w:val="007D5901"/>
    <w:rsid w:val="007D7526"/>
    <w:rsid w:val="007E0E28"/>
    <w:rsid w:val="007E0F30"/>
    <w:rsid w:val="007E1D21"/>
    <w:rsid w:val="007E4610"/>
    <w:rsid w:val="007E4715"/>
    <w:rsid w:val="007E505B"/>
    <w:rsid w:val="007E69BD"/>
    <w:rsid w:val="007E7091"/>
    <w:rsid w:val="007F3049"/>
    <w:rsid w:val="00803FAE"/>
    <w:rsid w:val="0080605F"/>
    <w:rsid w:val="00807786"/>
    <w:rsid w:val="00811FCB"/>
    <w:rsid w:val="008158D6"/>
    <w:rsid w:val="008170C5"/>
    <w:rsid w:val="00817196"/>
    <w:rsid w:val="008201B3"/>
    <w:rsid w:val="008235DB"/>
    <w:rsid w:val="00823CE4"/>
    <w:rsid w:val="00824A6E"/>
    <w:rsid w:val="00824AB4"/>
    <w:rsid w:val="00825C42"/>
    <w:rsid w:val="00825D25"/>
    <w:rsid w:val="00827D6F"/>
    <w:rsid w:val="0083173C"/>
    <w:rsid w:val="008376AC"/>
    <w:rsid w:val="008444E8"/>
    <w:rsid w:val="00844E80"/>
    <w:rsid w:val="00846FE7"/>
    <w:rsid w:val="008472AC"/>
    <w:rsid w:val="00850CEC"/>
    <w:rsid w:val="00853D5F"/>
    <w:rsid w:val="00856911"/>
    <w:rsid w:val="00860BEB"/>
    <w:rsid w:val="0086752A"/>
    <w:rsid w:val="008677FD"/>
    <w:rsid w:val="008706D4"/>
    <w:rsid w:val="00870F8A"/>
    <w:rsid w:val="008719A4"/>
    <w:rsid w:val="00871D23"/>
    <w:rsid w:val="00874312"/>
    <w:rsid w:val="0087437C"/>
    <w:rsid w:val="00875CD7"/>
    <w:rsid w:val="008760E0"/>
    <w:rsid w:val="00876A2A"/>
    <w:rsid w:val="00876B4D"/>
    <w:rsid w:val="00877F18"/>
    <w:rsid w:val="00887311"/>
    <w:rsid w:val="00894A88"/>
    <w:rsid w:val="008952BD"/>
    <w:rsid w:val="00895386"/>
    <w:rsid w:val="00896E4C"/>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3A3"/>
    <w:rsid w:val="008B6D83"/>
    <w:rsid w:val="008B7B5C"/>
    <w:rsid w:val="008C0687"/>
    <w:rsid w:val="008C0C99"/>
    <w:rsid w:val="008C2017"/>
    <w:rsid w:val="008C394C"/>
    <w:rsid w:val="008C48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062"/>
    <w:rsid w:val="008F169D"/>
    <w:rsid w:val="008F1EAB"/>
    <w:rsid w:val="008F33DC"/>
    <w:rsid w:val="008F3D89"/>
    <w:rsid w:val="008F477F"/>
    <w:rsid w:val="008F7ADA"/>
    <w:rsid w:val="00900E2D"/>
    <w:rsid w:val="009020BE"/>
    <w:rsid w:val="00902350"/>
    <w:rsid w:val="0090336B"/>
    <w:rsid w:val="00903AF6"/>
    <w:rsid w:val="009053AA"/>
    <w:rsid w:val="00905EB9"/>
    <w:rsid w:val="0090659A"/>
    <w:rsid w:val="00906939"/>
    <w:rsid w:val="00910B7D"/>
    <w:rsid w:val="00910F3D"/>
    <w:rsid w:val="00911DFB"/>
    <w:rsid w:val="009139D9"/>
    <w:rsid w:val="00913AFB"/>
    <w:rsid w:val="00913B51"/>
    <w:rsid w:val="00914AD8"/>
    <w:rsid w:val="00914D69"/>
    <w:rsid w:val="00916079"/>
    <w:rsid w:val="00917CE9"/>
    <w:rsid w:val="00920BF2"/>
    <w:rsid w:val="00921469"/>
    <w:rsid w:val="00921DD2"/>
    <w:rsid w:val="00922010"/>
    <w:rsid w:val="00927BC5"/>
    <w:rsid w:val="009314D5"/>
    <w:rsid w:val="00931BD9"/>
    <w:rsid w:val="00932CDA"/>
    <w:rsid w:val="0093322C"/>
    <w:rsid w:val="00934B49"/>
    <w:rsid w:val="009368F3"/>
    <w:rsid w:val="00937485"/>
    <w:rsid w:val="00941636"/>
    <w:rsid w:val="0094336E"/>
    <w:rsid w:val="00943742"/>
    <w:rsid w:val="00945C05"/>
    <w:rsid w:val="00946945"/>
    <w:rsid w:val="00947713"/>
    <w:rsid w:val="00950DE7"/>
    <w:rsid w:val="00951E8F"/>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A4C"/>
    <w:rsid w:val="00994DCA"/>
    <w:rsid w:val="009960EC"/>
    <w:rsid w:val="009970DD"/>
    <w:rsid w:val="009979C5"/>
    <w:rsid w:val="009A024F"/>
    <w:rsid w:val="009A0FBA"/>
    <w:rsid w:val="009A11F5"/>
    <w:rsid w:val="009A1601"/>
    <w:rsid w:val="009A2798"/>
    <w:rsid w:val="009A462D"/>
    <w:rsid w:val="009A47FF"/>
    <w:rsid w:val="009A5CBA"/>
    <w:rsid w:val="009A7536"/>
    <w:rsid w:val="009A79F8"/>
    <w:rsid w:val="009B1F30"/>
    <w:rsid w:val="009B3AC2"/>
    <w:rsid w:val="009B4DF4"/>
    <w:rsid w:val="009B564E"/>
    <w:rsid w:val="009B7E87"/>
    <w:rsid w:val="009C2637"/>
    <w:rsid w:val="009C403E"/>
    <w:rsid w:val="009C5F38"/>
    <w:rsid w:val="009D1FE8"/>
    <w:rsid w:val="009D2B94"/>
    <w:rsid w:val="009D4BF2"/>
    <w:rsid w:val="009D4FF0"/>
    <w:rsid w:val="009D703C"/>
    <w:rsid w:val="009D718F"/>
    <w:rsid w:val="009E01D9"/>
    <w:rsid w:val="009E068F"/>
    <w:rsid w:val="009E14E0"/>
    <w:rsid w:val="009E35DB"/>
    <w:rsid w:val="009E47A3"/>
    <w:rsid w:val="009E67CE"/>
    <w:rsid w:val="009F08F3"/>
    <w:rsid w:val="009F29E2"/>
    <w:rsid w:val="009F344F"/>
    <w:rsid w:val="009F41F5"/>
    <w:rsid w:val="009F5058"/>
    <w:rsid w:val="00A0012C"/>
    <w:rsid w:val="00A048A8"/>
    <w:rsid w:val="00A04F49"/>
    <w:rsid w:val="00A078FE"/>
    <w:rsid w:val="00A12DFD"/>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46418"/>
    <w:rsid w:val="00A52E1D"/>
    <w:rsid w:val="00A534BD"/>
    <w:rsid w:val="00A55B4A"/>
    <w:rsid w:val="00A60AA7"/>
    <w:rsid w:val="00A61499"/>
    <w:rsid w:val="00A62A77"/>
    <w:rsid w:val="00A63483"/>
    <w:rsid w:val="00A63D6A"/>
    <w:rsid w:val="00A657D7"/>
    <w:rsid w:val="00A660AC"/>
    <w:rsid w:val="00A66C51"/>
    <w:rsid w:val="00A67E6C"/>
    <w:rsid w:val="00A71B99"/>
    <w:rsid w:val="00A724EB"/>
    <w:rsid w:val="00A739D0"/>
    <w:rsid w:val="00A761D4"/>
    <w:rsid w:val="00A76977"/>
    <w:rsid w:val="00A77EC4"/>
    <w:rsid w:val="00A81D38"/>
    <w:rsid w:val="00A84A9D"/>
    <w:rsid w:val="00A850C7"/>
    <w:rsid w:val="00A87C47"/>
    <w:rsid w:val="00A92879"/>
    <w:rsid w:val="00A93964"/>
    <w:rsid w:val="00A9442A"/>
    <w:rsid w:val="00AA0139"/>
    <w:rsid w:val="00AA016F"/>
    <w:rsid w:val="00AA06F4"/>
    <w:rsid w:val="00AA1ED6"/>
    <w:rsid w:val="00AA377D"/>
    <w:rsid w:val="00AA51D6"/>
    <w:rsid w:val="00AA5A93"/>
    <w:rsid w:val="00AB0BC8"/>
    <w:rsid w:val="00AB11CA"/>
    <w:rsid w:val="00AB14D9"/>
    <w:rsid w:val="00AB1BA6"/>
    <w:rsid w:val="00AB2350"/>
    <w:rsid w:val="00AB4AB8"/>
    <w:rsid w:val="00AB5233"/>
    <w:rsid w:val="00AB5DB0"/>
    <w:rsid w:val="00AB655E"/>
    <w:rsid w:val="00AC007F"/>
    <w:rsid w:val="00AC20C3"/>
    <w:rsid w:val="00AC2E25"/>
    <w:rsid w:val="00AC2ECD"/>
    <w:rsid w:val="00AC3119"/>
    <w:rsid w:val="00AC49FB"/>
    <w:rsid w:val="00AC4AB6"/>
    <w:rsid w:val="00AC55DA"/>
    <w:rsid w:val="00AC5A10"/>
    <w:rsid w:val="00AC5FFA"/>
    <w:rsid w:val="00AC635E"/>
    <w:rsid w:val="00AC6888"/>
    <w:rsid w:val="00AD0AA3"/>
    <w:rsid w:val="00AD1211"/>
    <w:rsid w:val="00AD2920"/>
    <w:rsid w:val="00AD3F94"/>
    <w:rsid w:val="00AD49A2"/>
    <w:rsid w:val="00AD4A5A"/>
    <w:rsid w:val="00AD4FC0"/>
    <w:rsid w:val="00AD5BC5"/>
    <w:rsid w:val="00AE15F5"/>
    <w:rsid w:val="00AE2157"/>
    <w:rsid w:val="00AE27AC"/>
    <w:rsid w:val="00AE40E0"/>
    <w:rsid w:val="00AE4C61"/>
    <w:rsid w:val="00AE4DBA"/>
    <w:rsid w:val="00AE4F07"/>
    <w:rsid w:val="00AE5BE9"/>
    <w:rsid w:val="00AE69FE"/>
    <w:rsid w:val="00AF1C5D"/>
    <w:rsid w:val="00AF305F"/>
    <w:rsid w:val="00AF4263"/>
    <w:rsid w:val="00AF42D7"/>
    <w:rsid w:val="00B006FE"/>
    <w:rsid w:val="00B007CB"/>
    <w:rsid w:val="00B02AA9"/>
    <w:rsid w:val="00B02FA3"/>
    <w:rsid w:val="00B05084"/>
    <w:rsid w:val="00B06CB4"/>
    <w:rsid w:val="00B13A6C"/>
    <w:rsid w:val="00B14608"/>
    <w:rsid w:val="00B14B21"/>
    <w:rsid w:val="00B15476"/>
    <w:rsid w:val="00B157F9"/>
    <w:rsid w:val="00B16783"/>
    <w:rsid w:val="00B167F1"/>
    <w:rsid w:val="00B170AB"/>
    <w:rsid w:val="00B20256"/>
    <w:rsid w:val="00B20D09"/>
    <w:rsid w:val="00B250A3"/>
    <w:rsid w:val="00B26579"/>
    <w:rsid w:val="00B2763F"/>
    <w:rsid w:val="00B27AAC"/>
    <w:rsid w:val="00B30929"/>
    <w:rsid w:val="00B3301E"/>
    <w:rsid w:val="00B336C6"/>
    <w:rsid w:val="00B33832"/>
    <w:rsid w:val="00B372AA"/>
    <w:rsid w:val="00B37CF1"/>
    <w:rsid w:val="00B40445"/>
    <w:rsid w:val="00B41888"/>
    <w:rsid w:val="00B44014"/>
    <w:rsid w:val="00B45A52"/>
    <w:rsid w:val="00B46175"/>
    <w:rsid w:val="00B539DC"/>
    <w:rsid w:val="00B6045F"/>
    <w:rsid w:val="00B62AAA"/>
    <w:rsid w:val="00B65726"/>
    <w:rsid w:val="00B663A7"/>
    <w:rsid w:val="00B664C7"/>
    <w:rsid w:val="00B66689"/>
    <w:rsid w:val="00B70298"/>
    <w:rsid w:val="00B7155D"/>
    <w:rsid w:val="00B739F6"/>
    <w:rsid w:val="00B74452"/>
    <w:rsid w:val="00B801E2"/>
    <w:rsid w:val="00B81A6C"/>
    <w:rsid w:val="00B8301C"/>
    <w:rsid w:val="00B83458"/>
    <w:rsid w:val="00B85DE5"/>
    <w:rsid w:val="00B87CD8"/>
    <w:rsid w:val="00B90F73"/>
    <w:rsid w:val="00B927A5"/>
    <w:rsid w:val="00B93B59"/>
    <w:rsid w:val="00B9406A"/>
    <w:rsid w:val="00B96A4B"/>
    <w:rsid w:val="00BA2280"/>
    <w:rsid w:val="00BA2A08"/>
    <w:rsid w:val="00BA3E18"/>
    <w:rsid w:val="00BA56D2"/>
    <w:rsid w:val="00BA76E0"/>
    <w:rsid w:val="00BB04D1"/>
    <w:rsid w:val="00BB1BEB"/>
    <w:rsid w:val="00BB22C7"/>
    <w:rsid w:val="00BB2A25"/>
    <w:rsid w:val="00BB362F"/>
    <w:rsid w:val="00BB4C80"/>
    <w:rsid w:val="00BB51E9"/>
    <w:rsid w:val="00BB68A2"/>
    <w:rsid w:val="00BC09D0"/>
    <w:rsid w:val="00BC0FDC"/>
    <w:rsid w:val="00BC3053"/>
    <w:rsid w:val="00BC4D2E"/>
    <w:rsid w:val="00BD0701"/>
    <w:rsid w:val="00BD2A1D"/>
    <w:rsid w:val="00BD48AC"/>
    <w:rsid w:val="00BD5F1A"/>
    <w:rsid w:val="00BD60A1"/>
    <w:rsid w:val="00BD61C8"/>
    <w:rsid w:val="00BD6748"/>
    <w:rsid w:val="00BD7EF4"/>
    <w:rsid w:val="00BE1234"/>
    <w:rsid w:val="00BE2FA6"/>
    <w:rsid w:val="00BE333F"/>
    <w:rsid w:val="00BE7406"/>
    <w:rsid w:val="00BE7603"/>
    <w:rsid w:val="00BF0BD6"/>
    <w:rsid w:val="00BF111E"/>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21C1"/>
    <w:rsid w:val="00C14D4B"/>
    <w:rsid w:val="00C154BB"/>
    <w:rsid w:val="00C15B3B"/>
    <w:rsid w:val="00C17D64"/>
    <w:rsid w:val="00C20AB5"/>
    <w:rsid w:val="00C279B5"/>
    <w:rsid w:val="00C27C45"/>
    <w:rsid w:val="00C31964"/>
    <w:rsid w:val="00C34FE8"/>
    <w:rsid w:val="00C3719D"/>
    <w:rsid w:val="00C41EF6"/>
    <w:rsid w:val="00C50D18"/>
    <w:rsid w:val="00C54995"/>
    <w:rsid w:val="00C54AC5"/>
    <w:rsid w:val="00C54D41"/>
    <w:rsid w:val="00C60783"/>
    <w:rsid w:val="00C64672"/>
    <w:rsid w:val="00C67B89"/>
    <w:rsid w:val="00C70697"/>
    <w:rsid w:val="00C715D4"/>
    <w:rsid w:val="00C72119"/>
    <w:rsid w:val="00C72EF4"/>
    <w:rsid w:val="00C75D2F"/>
    <w:rsid w:val="00C767BE"/>
    <w:rsid w:val="00C76963"/>
    <w:rsid w:val="00C76A0E"/>
    <w:rsid w:val="00C76C63"/>
    <w:rsid w:val="00C76E3C"/>
    <w:rsid w:val="00C81568"/>
    <w:rsid w:val="00C83292"/>
    <w:rsid w:val="00C85664"/>
    <w:rsid w:val="00C86EDF"/>
    <w:rsid w:val="00C9027A"/>
    <w:rsid w:val="00C9068E"/>
    <w:rsid w:val="00C91811"/>
    <w:rsid w:val="00C91A48"/>
    <w:rsid w:val="00C93C4B"/>
    <w:rsid w:val="00C944AB"/>
    <w:rsid w:val="00C9566F"/>
    <w:rsid w:val="00C95B40"/>
    <w:rsid w:val="00CA1ED8"/>
    <w:rsid w:val="00CA3F64"/>
    <w:rsid w:val="00CB0C6E"/>
    <w:rsid w:val="00CB1F63"/>
    <w:rsid w:val="00CB2228"/>
    <w:rsid w:val="00CB27CF"/>
    <w:rsid w:val="00CB2F78"/>
    <w:rsid w:val="00CB6199"/>
    <w:rsid w:val="00CB7170"/>
    <w:rsid w:val="00CC040E"/>
    <w:rsid w:val="00CC111F"/>
    <w:rsid w:val="00CC2011"/>
    <w:rsid w:val="00CC3875"/>
    <w:rsid w:val="00CC388A"/>
    <w:rsid w:val="00CC3EA0"/>
    <w:rsid w:val="00CC7B45"/>
    <w:rsid w:val="00CD0E3D"/>
    <w:rsid w:val="00CD1188"/>
    <w:rsid w:val="00CD2ED1"/>
    <w:rsid w:val="00CD337B"/>
    <w:rsid w:val="00CD5416"/>
    <w:rsid w:val="00CD5FE9"/>
    <w:rsid w:val="00CE0424"/>
    <w:rsid w:val="00CE569A"/>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2792"/>
    <w:rsid w:val="00D4318F"/>
    <w:rsid w:val="00D438BF"/>
    <w:rsid w:val="00D440F8"/>
    <w:rsid w:val="00D44BA8"/>
    <w:rsid w:val="00D467CE"/>
    <w:rsid w:val="00D47081"/>
    <w:rsid w:val="00D47CBC"/>
    <w:rsid w:val="00D546FF"/>
    <w:rsid w:val="00D55AD5"/>
    <w:rsid w:val="00D576CA"/>
    <w:rsid w:val="00D579D0"/>
    <w:rsid w:val="00D60E13"/>
    <w:rsid w:val="00D61AF5"/>
    <w:rsid w:val="00D62CD5"/>
    <w:rsid w:val="00D6435F"/>
    <w:rsid w:val="00D652B5"/>
    <w:rsid w:val="00D66155"/>
    <w:rsid w:val="00D67494"/>
    <w:rsid w:val="00D704A6"/>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A234F"/>
    <w:rsid w:val="00DA2B4D"/>
    <w:rsid w:val="00DA305E"/>
    <w:rsid w:val="00DA32BE"/>
    <w:rsid w:val="00DA3EF2"/>
    <w:rsid w:val="00DA5007"/>
    <w:rsid w:val="00DA5417"/>
    <w:rsid w:val="00DA56E8"/>
    <w:rsid w:val="00DA5C7F"/>
    <w:rsid w:val="00DB09F6"/>
    <w:rsid w:val="00DB0A9F"/>
    <w:rsid w:val="00DB2A5F"/>
    <w:rsid w:val="00DB377D"/>
    <w:rsid w:val="00DB4B09"/>
    <w:rsid w:val="00DC2140"/>
    <w:rsid w:val="00DC2D36"/>
    <w:rsid w:val="00DC4F42"/>
    <w:rsid w:val="00DC53EF"/>
    <w:rsid w:val="00DD2D9D"/>
    <w:rsid w:val="00DD39D5"/>
    <w:rsid w:val="00DD739C"/>
    <w:rsid w:val="00DE0610"/>
    <w:rsid w:val="00DE0FF8"/>
    <w:rsid w:val="00DE18FE"/>
    <w:rsid w:val="00DE4478"/>
    <w:rsid w:val="00DE5608"/>
    <w:rsid w:val="00DE58D0"/>
    <w:rsid w:val="00DE5C7E"/>
    <w:rsid w:val="00DE654F"/>
    <w:rsid w:val="00DF0B6E"/>
    <w:rsid w:val="00DF10B4"/>
    <w:rsid w:val="00DF15E0"/>
    <w:rsid w:val="00DF37A0"/>
    <w:rsid w:val="00DF74D0"/>
    <w:rsid w:val="00DF7C99"/>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0303"/>
    <w:rsid w:val="00E528F4"/>
    <w:rsid w:val="00E53B75"/>
    <w:rsid w:val="00E541DF"/>
    <w:rsid w:val="00E54E3B"/>
    <w:rsid w:val="00E57565"/>
    <w:rsid w:val="00E63838"/>
    <w:rsid w:val="00E64434"/>
    <w:rsid w:val="00E64CF3"/>
    <w:rsid w:val="00E66999"/>
    <w:rsid w:val="00E67C51"/>
    <w:rsid w:val="00E70742"/>
    <w:rsid w:val="00E72EFC"/>
    <w:rsid w:val="00E758EC"/>
    <w:rsid w:val="00E81189"/>
    <w:rsid w:val="00E8234C"/>
    <w:rsid w:val="00E83AA9"/>
    <w:rsid w:val="00E85928"/>
    <w:rsid w:val="00E87263"/>
    <w:rsid w:val="00E87822"/>
    <w:rsid w:val="00E90395"/>
    <w:rsid w:val="00E90E49"/>
    <w:rsid w:val="00E917F9"/>
    <w:rsid w:val="00E9291C"/>
    <w:rsid w:val="00E93FFE"/>
    <w:rsid w:val="00E94F8A"/>
    <w:rsid w:val="00EA2783"/>
    <w:rsid w:val="00EA3F61"/>
    <w:rsid w:val="00EA45E3"/>
    <w:rsid w:val="00EA4D55"/>
    <w:rsid w:val="00EA6C25"/>
    <w:rsid w:val="00EA78D3"/>
    <w:rsid w:val="00EA7A41"/>
    <w:rsid w:val="00EB077B"/>
    <w:rsid w:val="00EB21D0"/>
    <w:rsid w:val="00EB2EB5"/>
    <w:rsid w:val="00EB4EA2"/>
    <w:rsid w:val="00EB6D5D"/>
    <w:rsid w:val="00EB72D5"/>
    <w:rsid w:val="00EC27C6"/>
    <w:rsid w:val="00EC4207"/>
    <w:rsid w:val="00EC43D7"/>
    <w:rsid w:val="00EC5479"/>
    <w:rsid w:val="00EC5653"/>
    <w:rsid w:val="00EC60B5"/>
    <w:rsid w:val="00EC71CE"/>
    <w:rsid w:val="00ED1006"/>
    <w:rsid w:val="00ED5EDB"/>
    <w:rsid w:val="00ED605D"/>
    <w:rsid w:val="00ED6BC9"/>
    <w:rsid w:val="00ED7EE6"/>
    <w:rsid w:val="00EE3501"/>
    <w:rsid w:val="00EE5320"/>
    <w:rsid w:val="00EE5985"/>
    <w:rsid w:val="00EE5C1E"/>
    <w:rsid w:val="00EE6932"/>
    <w:rsid w:val="00EF12E7"/>
    <w:rsid w:val="00EF18FE"/>
    <w:rsid w:val="00EF5787"/>
    <w:rsid w:val="00EF60D0"/>
    <w:rsid w:val="00F0528D"/>
    <w:rsid w:val="00F06C67"/>
    <w:rsid w:val="00F06DFD"/>
    <w:rsid w:val="00F06E06"/>
    <w:rsid w:val="00F071D1"/>
    <w:rsid w:val="00F07533"/>
    <w:rsid w:val="00F10448"/>
    <w:rsid w:val="00F10629"/>
    <w:rsid w:val="00F11001"/>
    <w:rsid w:val="00F14E43"/>
    <w:rsid w:val="00F158C9"/>
    <w:rsid w:val="00F15FA5"/>
    <w:rsid w:val="00F16643"/>
    <w:rsid w:val="00F209B7"/>
    <w:rsid w:val="00F20B0E"/>
    <w:rsid w:val="00F2376F"/>
    <w:rsid w:val="00F243D8"/>
    <w:rsid w:val="00F2648E"/>
    <w:rsid w:val="00F30828"/>
    <w:rsid w:val="00F313D6"/>
    <w:rsid w:val="00F33EC5"/>
    <w:rsid w:val="00F34210"/>
    <w:rsid w:val="00F34E5F"/>
    <w:rsid w:val="00F40F0C"/>
    <w:rsid w:val="00F4766C"/>
    <w:rsid w:val="00F507D1"/>
    <w:rsid w:val="00F519CE"/>
    <w:rsid w:val="00F51ADA"/>
    <w:rsid w:val="00F56EA1"/>
    <w:rsid w:val="00F607C5"/>
    <w:rsid w:val="00F60DEA"/>
    <w:rsid w:val="00F6224B"/>
    <w:rsid w:val="00F6302A"/>
    <w:rsid w:val="00F64C2B"/>
    <w:rsid w:val="00F651BE"/>
    <w:rsid w:val="00F67A15"/>
    <w:rsid w:val="00F67F53"/>
    <w:rsid w:val="00F703BE"/>
    <w:rsid w:val="00F71F69"/>
    <w:rsid w:val="00F72873"/>
    <w:rsid w:val="00F72B72"/>
    <w:rsid w:val="00F74BB9"/>
    <w:rsid w:val="00F74C9D"/>
    <w:rsid w:val="00F75582"/>
    <w:rsid w:val="00F75A7F"/>
    <w:rsid w:val="00F76EFA"/>
    <w:rsid w:val="00F8015E"/>
    <w:rsid w:val="00F804BE"/>
    <w:rsid w:val="00F817CE"/>
    <w:rsid w:val="00F82F4E"/>
    <w:rsid w:val="00F8456C"/>
    <w:rsid w:val="00F8494E"/>
    <w:rsid w:val="00F858AE"/>
    <w:rsid w:val="00F859D8"/>
    <w:rsid w:val="00F868F5"/>
    <w:rsid w:val="00F900BD"/>
    <w:rsid w:val="00F9056A"/>
    <w:rsid w:val="00F90F8D"/>
    <w:rsid w:val="00F92782"/>
    <w:rsid w:val="00F93AA9"/>
    <w:rsid w:val="00F94784"/>
    <w:rsid w:val="00F96985"/>
    <w:rsid w:val="00F97838"/>
    <w:rsid w:val="00F97F0A"/>
    <w:rsid w:val="00FA2BB3"/>
    <w:rsid w:val="00FA4D68"/>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1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15:docId w15:val="{B5F27626-3F9B-4C3F-9E5B-C33D21E7B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E4AE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900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900B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900B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900BD"/>
    <w:pPr>
      <w:numPr>
        <w:ilvl w:val="3"/>
      </w:numPr>
      <w:outlineLvl w:val="3"/>
    </w:pPr>
    <w:rPr>
      <w:sz w:val="24"/>
      <w:szCs w:val="24"/>
    </w:rPr>
  </w:style>
  <w:style w:type="paragraph" w:styleId="Heading5">
    <w:name w:val="heading 5"/>
    <w:basedOn w:val="Heading4"/>
    <w:next w:val="Normal"/>
    <w:qFormat/>
    <w:rsid w:val="00F900BD"/>
    <w:pPr>
      <w:numPr>
        <w:ilvl w:val="4"/>
      </w:numPr>
      <w:outlineLvl w:val="4"/>
    </w:pPr>
    <w:rPr>
      <w:sz w:val="22"/>
      <w:szCs w:val="22"/>
    </w:rPr>
  </w:style>
  <w:style w:type="paragraph" w:styleId="Heading6">
    <w:name w:val="heading 6"/>
    <w:basedOn w:val="Normal"/>
    <w:next w:val="Normal"/>
    <w:qFormat/>
    <w:rsid w:val="00F900BD"/>
    <w:pPr>
      <w:keepNext/>
      <w:keepLines/>
      <w:numPr>
        <w:ilvl w:val="5"/>
        <w:numId w:val="1"/>
      </w:numPr>
      <w:spacing w:before="120"/>
      <w:outlineLvl w:val="5"/>
    </w:pPr>
    <w:rPr>
      <w:rFonts w:cs="Arial"/>
    </w:rPr>
  </w:style>
  <w:style w:type="paragraph" w:styleId="Heading7">
    <w:name w:val="heading 7"/>
    <w:basedOn w:val="Normal"/>
    <w:next w:val="Normal"/>
    <w:qFormat/>
    <w:rsid w:val="00F900BD"/>
    <w:pPr>
      <w:keepNext/>
      <w:keepLines/>
      <w:numPr>
        <w:ilvl w:val="6"/>
        <w:numId w:val="1"/>
      </w:numPr>
      <w:spacing w:before="120"/>
      <w:outlineLvl w:val="6"/>
    </w:pPr>
    <w:rPr>
      <w:rFonts w:cs="Arial"/>
    </w:rPr>
  </w:style>
  <w:style w:type="paragraph" w:styleId="Heading8">
    <w:name w:val="heading 8"/>
    <w:basedOn w:val="Heading7"/>
    <w:next w:val="Normal"/>
    <w:qFormat/>
    <w:rsid w:val="00F900BD"/>
    <w:pPr>
      <w:numPr>
        <w:ilvl w:val="7"/>
      </w:numPr>
      <w:outlineLvl w:val="7"/>
    </w:pPr>
  </w:style>
  <w:style w:type="paragraph" w:styleId="Heading9">
    <w:name w:val="heading 9"/>
    <w:basedOn w:val="Heading8"/>
    <w:next w:val="Normal"/>
    <w:qFormat/>
    <w:rsid w:val="00F900B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0BD"/>
    <w:pPr>
      <w:spacing w:before="180"/>
      <w:ind w:left="2693" w:hanging="2693"/>
    </w:pPr>
    <w:rPr>
      <w:b w:val="0"/>
      <w:bCs/>
    </w:rPr>
  </w:style>
  <w:style w:type="paragraph" w:styleId="TOC1">
    <w:name w:val="toc 1"/>
    <w:aliases w:val="Observation TOC2"/>
    <w:uiPriority w:val="39"/>
    <w:rsid w:val="00F900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900BD"/>
    <w:pPr>
      <w:keepNext/>
      <w:keepLines/>
      <w:spacing w:before="180"/>
      <w:jc w:val="center"/>
    </w:pPr>
  </w:style>
  <w:style w:type="paragraph" w:styleId="Caption">
    <w:name w:val="caption"/>
    <w:basedOn w:val="Normal"/>
    <w:next w:val="Normal"/>
    <w:qFormat/>
    <w:rsid w:val="00F900BD"/>
    <w:pPr>
      <w:spacing w:after="240"/>
      <w:jc w:val="center"/>
    </w:pPr>
    <w:rPr>
      <w:b/>
      <w:bCs/>
    </w:rPr>
  </w:style>
  <w:style w:type="paragraph" w:styleId="TOC5">
    <w:name w:val="toc 5"/>
    <w:aliases w:val="Observation TOC"/>
    <w:basedOn w:val="TOC4"/>
    <w:semiHidden/>
    <w:rsid w:val="00F900BD"/>
    <w:pPr>
      <w:tabs>
        <w:tab w:val="right" w:pos="1701"/>
      </w:tabs>
      <w:ind w:left="1701" w:hanging="1701"/>
    </w:pPr>
  </w:style>
  <w:style w:type="paragraph" w:styleId="TOC4">
    <w:name w:val="toc 4"/>
    <w:basedOn w:val="TOC3"/>
    <w:semiHidden/>
    <w:rsid w:val="00F900BD"/>
    <w:pPr>
      <w:ind w:left="1418" w:hanging="1418"/>
    </w:pPr>
  </w:style>
  <w:style w:type="paragraph" w:styleId="TOC3">
    <w:name w:val="toc 3"/>
    <w:basedOn w:val="TOC2"/>
    <w:semiHidden/>
    <w:rsid w:val="00F900BD"/>
    <w:pPr>
      <w:ind w:left="1134" w:hanging="1134"/>
    </w:pPr>
  </w:style>
  <w:style w:type="paragraph" w:styleId="TOC2">
    <w:name w:val="toc 2"/>
    <w:basedOn w:val="TOC1"/>
    <w:semiHidden/>
    <w:rsid w:val="00F900BD"/>
    <w:pPr>
      <w:keepNext w:val="0"/>
      <w:spacing w:before="0"/>
      <w:ind w:left="851" w:hanging="851"/>
    </w:pPr>
    <w:rPr>
      <w:szCs w:val="20"/>
    </w:rPr>
  </w:style>
  <w:style w:type="paragraph" w:styleId="Index2">
    <w:name w:val="index 2"/>
    <w:basedOn w:val="Index1"/>
    <w:semiHidden/>
    <w:rsid w:val="00F900BD"/>
    <w:pPr>
      <w:ind w:left="284"/>
    </w:pPr>
  </w:style>
  <w:style w:type="paragraph" w:styleId="Index1">
    <w:name w:val="index 1"/>
    <w:basedOn w:val="Normal"/>
    <w:semiHidden/>
    <w:rsid w:val="00F900BD"/>
    <w:pPr>
      <w:keepLines/>
      <w:spacing w:after="0"/>
    </w:pPr>
  </w:style>
  <w:style w:type="paragraph" w:styleId="DocumentMap">
    <w:name w:val="Document Map"/>
    <w:basedOn w:val="Normal"/>
    <w:semiHidden/>
    <w:rsid w:val="00F900BD"/>
    <w:pPr>
      <w:shd w:val="clear" w:color="auto" w:fill="000080"/>
    </w:pPr>
    <w:rPr>
      <w:rFonts w:ascii="Tahoma" w:hAnsi="Tahoma" w:cs="Tahoma"/>
    </w:rPr>
  </w:style>
  <w:style w:type="paragraph" w:styleId="ListNumber2">
    <w:name w:val="List Number 2"/>
    <w:basedOn w:val="ListNumber"/>
    <w:rsid w:val="00F900BD"/>
    <w:pPr>
      <w:ind w:left="851"/>
    </w:pPr>
  </w:style>
  <w:style w:type="paragraph" w:styleId="ListNumber">
    <w:name w:val="List Number"/>
    <w:basedOn w:val="List"/>
    <w:rsid w:val="00F900BD"/>
  </w:style>
  <w:style w:type="paragraph" w:styleId="List">
    <w:name w:val="List"/>
    <w:basedOn w:val="Normal"/>
    <w:rsid w:val="00F900BD"/>
    <w:pPr>
      <w:ind w:left="568" w:hanging="284"/>
    </w:pPr>
  </w:style>
  <w:style w:type="paragraph" w:styleId="Header">
    <w:name w:val="header"/>
    <w:rsid w:val="00F900B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900BD"/>
    <w:rPr>
      <w:b/>
      <w:bCs/>
      <w:position w:val="6"/>
      <w:sz w:val="16"/>
      <w:szCs w:val="16"/>
    </w:rPr>
  </w:style>
  <w:style w:type="paragraph" w:styleId="FootnoteText">
    <w:name w:val="footnote text"/>
    <w:basedOn w:val="Normal"/>
    <w:semiHidden/>
    <w:rsid w:val="00F900BD"/>
    <w:pPr>
      <w:keepLines/>
      <w:spacing w:after="0"/>
      <w:ind w:left="454" w:hanging="454"/>
    </w:pPr>
    <w:rPr>
      <w:sz w:val="16"/>
      <w:szCs w:val="16"/>
    </w:rPr>
  </w:style>
  <w:style w:type="paragraph" w:customStyle="1" w:styleId="3GPPHeader">
    <w:name w:val="3GPP_Header"/>
    <w:basedOn w:val="Normal"/>
    <w:rsid w:val="00F900BD"/>
    <w:pPr>
      <w:tabs>
        <w:tab w:val="left" w:pos="1701"/>
        <w:tab w:val="right" w:pos="9639"/>
      </w:tabs>
      <w:spacing w:after="240"/>
    </w:pPr>
    <w:rPr>
      <w:b/>
      <w:sz w:val="24"/>
    </w:rPr>
  </w:style>
  <w:style w:type="paragraph" w:styleId="TOC9">
    <w:name w:val="toc 9"/>
    <w:basedOn w:val="TOC8"/>
    <w:semiHidden/>
    <w:rsid w:val="00F900BD"/>
    <w:pPr>
      <w:ind w:left="1418" w:hanging="1418"/>
    </w:pPr>
  </w:style>
  <w:style w:type="paragraph" w:styleId="TOC6">
    <w:name w:val="toc 6"/>
    <w:basedOn w:val="TOC5"/>
    <w:next w:val="Normal"/>
    <w:semiHidden/>
    <w:rsid w:val="00F900BD"/>
    <w:pPr>
      <w:ind w:left="1985" w:hanging="1985"/>
    </w:pPr>
  </w:style>
  <w:style w:type="paragraph" w:styleId="TOC7">
    <w:name w:val="toc 7"/>
    <w:basedOn w:val="TOC6"/>
    <w:next w:val="Normal"/>
    <w:semiHidden/>
    <w:rsid w:val="00F900BD"/>
    <w:pPr>
      <w:ind w:left="2268" w:hanging="2268"/>
    </w:pPr>
  </w:style>
  <w:style w:type="paragraph" w:styleId="ListBullet2">
    <w:name w:val="List Bullet 2"/>
    <w:basedOn w:val="ListBullet"/>
    <w:rsid w:val="00F900BD"/>
    <w:pPr>
      <w:numPr>
        <w:numId w:val="6"/>
      </w:numPr>
    </w:pPr>
  </w:style>
  <w:style w:type="paragraph" w:styleId="ListBullet">
    <w:name w:val="List Bullet"/>
    <w:basedOn w:val="BodyText"/>
    <w:rsid w:val="00F900BD"/>
    <w:pPr>
      <w:numPr>
        <w:numId w:val="5"/>
      </w:numPr>
    </w:pPr>
  </w:style>
  <w:style w:type="paragraph" w:styleId="ListBullet3">
    <w:name w:val="List Bullet 3"/>
    <w:basedOn w:val="ListBullet2"/>
    <w:rsid w:val="00F900BD"/>
    <w:pPr>
      <w:numPr>
        <w:numId w:val="7"/>
      </w:numPr>
    </w:pPr>
  </w:style>
  <w:style w:type="paragraph" w:customStyle="1" w:styleId="EQ">
    <w:name w:val="EQ"/>
    <w:basedOn w:val="Normal"/>
    <w:next w:val="Normal"/>
    <w:rsid w:val="00F900BD"/>
    <w:pPr>
      <w:keepLines/>
      <w:tabs>
        <w:tab w:val="center" w:pos="4536"/>
        <w:tab w:val="right" w:pos="9072"/>
      </w:tabs>
      <w:spacing w:after="180"/>
      <w:jc w:val="left"/>
    </w:pPr>
    <w:rPr>
      <w:noProof/>
      <w:lang w:eastAsia="en-US"/>
    </w:rPr>
  </w:style>
  <w:style w:type="paragraph" w:styleId="List2">
    <w:name w:val="List 2"/>
    <w:basedOn w:val="List"/>
    <w:rsid w:val="00F900BD"/>
    <w:pPr>
      <w:ind w:left="851"/>
    </w:pPr>
  </w:style>
  <w:style w:type="paragraph" w:styleId="List3">
    <w:name w:val="List 3"/>
    <w:basedOn w:val="List2"/>
    <w:rsid w:val="00F900BD"/>
    <w:pPr>
      <w:ind w:left="1135"/>
    </w:pPr>
  </w:style>
  <w:style w:type="paragraph" w:styleId="List4">
    <w:name w:val="List 4"/>
    <w:basedOn w:val="List3"/>
    <w:rsid w:val="00F900BD"/>
    <w:pPr>
      <w:ind w:left="1418"/>
    </w:pPr>
  </w:style>
  <w:style w:type="paragraph" w:styleId="List5">
    <w:name w:val="List 5"/>
    <w:basedOn w:val="List4"/>
    <w:rsid w:val="00F900BD"/>
    <w:pPr>
      <w:ind w:left="1702"/>
    </w:pPr>
  </w:style>
  <w:style w:type="paragraph" w:customStyle="1" w:styleId="EditorsNote">
    <w:name w:val="Editor's Note"/>
    <w:basedOn w:val="Normal"/>
    <w:rsid w:val="00F900BD"/>
    <w:pPr>
      <w:keepLines/>
      <w:spacing w:after="180"/>
      <w:ind w:left="1135" w:hanging="851"/>
      <w:jc w:val="left"/>
    </w:pPr>
    <w:rPr>
      <w:color w:val="FF0000"/>
      <w:lang w:eastAsia="en-US"/>
    </w:rPr>
  </w:style>
  <w:style w:type="paragraph" w:styleId="ListBullet4">
    <w:name w:val="List Bullet 4"/>
    <w:basedOn w:val="ListBullet3"/>
    <w:rsid w:val="00F900BD"/>
    <w:pPr>
      <w:numPr>
        <w:numId w:val="8"/>
      </w:numPr>
    </w:pPr>
  </w:style>
  <w:style w:type="paragraph" w:styleId="ListBullet5">
    <w:name w:val="List Bullet 5"/>
    <w:basedOn w:val="ListBullet4"/>
    <w:rsid w:val="00F900BD"/>
    <w:pPr>
      <w:numPr>
        <w:numId w:val="4"/>
      </w:numPr>
    </w:pPr>
  </w:style>
  <w:style w:type="paragraph" w:styleId="Footer">
    <w:name w:val="footer"/>
    <w:basedOn w:val="Header"/>
    <w:semiHidden/>
    <w:rsid w:val="00F900BD"/>
    <w:pPr>
      <w:jc w:val="center"/>
    </w:pPr>
    <w:rPr>
      <w:i/>
      <w:iCs/>
    </w:rPr>
  </w:style>
  <w:style w:type="paragraph" w:customStyle="1" w:styleId="Reference">
    <w:name w:val="Reference"/>
    <w:basedOn w:val="Normal"/>
    <w:link w:val="ReferenceChar"/>
    <w:rsid w:val="00F900BD"/>
    <w:pPr>
      <w:numPr>
        <w:numId w:val="2"/>
      </w:numPr>
    </w:pPr>
  </w:style>
  <w:style w:type="paragraph" w:styleId="BalloonText">
    <w:name w:val="Balloon Text"/>
    <w:basedOn w:val="Normal"/>
    <w:semiHidden/>
    <w:rsid w:val="00F900BD"/>
    <w:rPr>
      <w:rFonts w:ascii="Tahoma" w:hAnsi="Tahoma" w:cs="Tahoma"/>
      <w:sz w:val="16"/>
      <w:szCs w:val="16"/>
    </w:rPr>
  </w:style>
  <w:style w:type="character" w:styleId="PageNumber">
    <w:name w:val="page number"/>
    <w:basedOn w:val="DefaultParagraphFont"/>
    <w:semiHidden/>
    <w:rsid w:val="00F900BD"/>
  </w:style>
  <w:style w:type="paragraph" w:styleId="BodyText">
    <w:name w:val="Body Text"/>
    <w:basedOn w:val="Normal"/>
    <w:link w:val="BodyTextChar"/>
    <w:rsid w:val="00F900BD"/>
  </w:style>
  <w:style w:type="character" w:styleId="Hyperlink">
    <w:name w:val="Hyperlink"/>
    <w:uiPriority w:val="99"/>
    <w:rsid w:val="00F900BD"/>
    <w:rPr>
      <w:color w:val="0000FF"/>
      <w:u w:val="single"/>
      <w:lang w:val="en-GB"/>
    </w:rPr>
  </w:style>
  <w:style w:type="character" w:styleId="FollowedHyperlink">
    <w:name w:val="FollowedHyperlink"/>
    <w:semiHidden/>
    <w:rsid w:val="00F900BD"/>
    <w:rPr>
      <w:color w:val="FF0000"/>
      <w:u w:val="single"/>
    </w:rPr>
  </w:style>
  <w:style w:type="character" w:styleId="CommentReference">
    <w:name w:val="annotation reference"/>
    <w:semiHidden/>
    <w:rsid w:val="00F900BD"/>
    <w:rPr>
      <w:sz w:val="16"/>
      <w:szCs w:val="16"/>
    </w:rPr>
  </w:style>
  <w:style w:type="paragraph" w:styleId="CommentText">
    <w:name w:val="annotation text"/>
    <w:basedOn w:val="Normal"/>
    <w:link w:val="CommentTextChar"/>
    <w:semiHidden/>
    <w:rsid w:val="00F900BD"/>
  </w:style>
  <w:style w:type="paragraph" w:styleId="CommentSubject">
    <w:name w:val="annotation subject"/>
    <w:basedOn w:val="CommentText"/>
    <w:next w:val="CommentText"/>
    <w:semiHidden/>
    <w:rsid w:val="00F900BD"/>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900BD"/>
    <w:rPr>
      <w:rFonts w:ascii="Arial" w:hAnsi="Arial" w:cs="Arial"/>
      <w:sz w:val="36"/>
      <w:szCs w:val="36"/>
      <w:lang w:val="en-GB" w:eastAsia="zh-CN"/>
    </w:rPr>
  </w:style>
  <w:style w:type="paragraph" w:customStyle="1" w:styleId="B1">
    <w:name w:val="B1"/>
    <w:basedOn w:val="List"/>
    <w:link w:val="B1Char1"/>
    <w:rsid w:val="00F900BD"/>
    <w:pPr>
      <w:spacing w:after="180"/>
      <w:jc w:val="left"/>
    </w:pPr>
    <w:rPr>
      <w:lang w:eastAsia="en-US"/>
    </w:rPr>
  </w:style>
  <w:style w:type="paragraph" w:customStyle="1" w:styleId="B2">
    <w:name w:val="B2"/>
    <w:basedOn w:val="List2"/>
    <w:link w:val="B2Char"/>
    <w:rsid w:val="00F900BD"/>
    <w:pPr>
      <w:spacing w:after="180"/>
      <w:jc w:val="left"/>
    </w:pPr>
    <w:rPr>
      <w:lang w:eastAsia="en-US"/>
    </w:rPr>
  </w:style>
  <w:style w:type="paragraph" w:customStyle="1" w:styleId="B3">
    <w:name w:val="B3"/>
    <w:basedOn w:val="List3"/>
    <w:link w:val="B3Char2"/>
    <w:rsid w:val="00F900BD"/>
    <w:pPr>
      <w:spacing w:after="180"/>
      <w:jc w:val="left"/>
    </w:pPr>
    <w:rPr>
      <w:lang w:eastAsia="en-US"/>
    </w:rPr>
  </w:style>
  <w:style w:type="paragraph" w:customStyle="1" w:styleId="B4">
    <w:name w:val="B4"/>
    <w:basedOn w:val="List4"/>
    <w:rsid w:val="00F900BD"/>
    <w:pPr>
      <w:spacing w:after="180"/>
      <w:jc w:val="left"/>
    </w:pPr>
    <w:rPr>
      <w:lang w:eastAsia="en-US"/>
    </w:rPr>
  </w:style>
  <w:style w:type="paragraph" w:customStyle="1" w:styleId="Proposal">
    <w:name w:val="Proposal"/>
    <w:basedOn w:val="Normal"/>
    <w:rsid w:val="00F900BD"/>
    <w:pPr>
      <w:numPr>
        <w:numId w:val="3"/>
      </w:numPr>
      <w:tabs>
        <w:tab w:val="clear" w:pos="1304"/>
        <w:tab w:val="left" w:pos="1701"/>
      </w:tabs>
      <w:ind w:left="1701" w:hanging="1701"/>
    </w:pPr>
    <w:rPr>
      <w:b/>
      <w:bCs/>
    </w:rPr>
  </w:style>
  <w:style w:type="character" w:customStyle="1" w:styleId="BodyTextChar">
    <w:name w:val="Body Text Char"/>
    <w:link w:val="BodyText"/>
    <w:rsid w:val="00F900BD"/>
    <w:rPr>
      <w:rFonts w:ascii="Arial" w:hAnsi="Arial"/>
      <w:lang w:val="en-GB" w:eastAsia="zh-CN"/>
    </w:rPr>
  </w:style>
  <w:style w:type="paragraph" w:customStyle="1" w:styleId="B5">
    <w:name w:val="B5"/>
    <w:basedOn w:val="List5"/>
    <w:link w:val="B5Char"/>
    <w:rsid w:val="00F900BD"/>
    <w:pPr>
      <w:spacing w:after="180"/>
      <w:jc w:val="left"/>
    </w:pPr>
    <w:rPr>
      <w:lang w:eastAsia="en-US"/>
    </w:rPr>
  </w:style>
  <w:style w:type="paragraph" w:customStyle="1" w:styleId="EX">
    <w:name w:val="EX"/>
    <w:basedOn w:val="Normal"/>
    <w:rsid w:val="00F900BD"/>
    <w:pPr>
      <w:keepLines/>
      <w:spacing w:after="180"/>
      <w:ind w:left="1702" w:hanging="1418"/>
      <w:jc w:val="left"/>
    </w:pPr>
    <w:rPr>
      <w:lang w:eastAsia="en-US"/>
    </w:rPr>
  </w:style>
  <w:style w:type="paragraph" w:customStyle="1" w:styleId="EW">
    <w:name w:val="EW"/>
    <w:basedOn w:val="EX"/>
    <w:rsid w:val="00F900BD"/>
    <w:pPr>
      <w:spacing w:after="0"/>
    </w:pPr>
  </w:style>
  <w:style w:type="paragraph" w:customStyle="1" w:styleId="TAL">
    <w:name w:val="TAL"/>
    <w:basedOn w:val="Normal"/>
    <w:link w:val="TALCar"/>
    <w:rsid w:val="00F900BD"/>
    <w:pPr>
      <w:keepNext/>
      <w:keepLines/>
      <w:spacing w:after="0"/>
      <w:jc w:val="left"/>
    </w:pPr>
    <w:rPr>
      <w:sz w:val="18"/>
      <w:lang w:eastAsia="en-US"/>
    </w:rPr>
  </w:style>
  <w:style w:type="paragraph" w:customStyle="1" w:styleId="TAC">
    <w:name w:val="TAC"/>
    <w:basedOn w:val="TAL"/>
    <w:rsid w:val="00F900BD"/>
    <w:pPr>
      <w:jc w:val="center"/>
    </w:pPr>
  </w:style>
  <w:style w:type="paragraph" w:customStyle="1" w:styleId="TAH">
    <w:name w:val="TAH"/>
    <w:basedOn w:val="TAC"/>
    <w:rsid w:val="00F900BD"/>
    <w:rPr>
      <w:b/>
    </w:rPr>
  </w:style>
  <w:style w:type="paragraph" w:customStyle="1" w:styleId="TAN">
    <w:name w:val="TAN"/>
    <w:basedOn w:val="TAL"/>
    <w:rsid w:val="00F900BD"/>
    <w:pPr>
      <w:ind w:left="851" w:hanging="851"/>
    </w:pPr>
  </w:style>
  <w:style w:type="paragraph" w:customStyle="1" w:styleId="TAR">
    <w:name w:val="TAR"/>
    <w:basedOn w:val="TAL"/>
    <w:rsid w:val="00F900BD"/>
    <w:pPr>
      <w:jc w:val="right"/>
    </w:pPr>
  </w:style>
  <w:style w:type="paragraph" w:customStyle="1" w:styleId="TH">
    <w:name w:val="TH"/>
    <w:basedOn w:val="Normal"/>
    <w:rsid w:val="00F900BD"/>
    <w:pPr>
      <w:keepNext/>
      <w:keepLines/>
      <w:spacing w:before="60" w:after="180"/>
      <w:jc w:val="center"/>
    </w:pPr>
    <w:rPr>
      <w:b/>
      <w:lang w:eastAsia="en-US"/>
    </w:rPr>
  </w:style>
  <w:style w:type="paragraph" w:customStyle="1" w:styleId="TF">
    <w:name w:val="TF"/>
    <w:basedOn w:val="TH"/>
    <w:rsid w:val="00F900BD"/>
    <w:pPr>
      <w:keepNext w:val="0"/>
      <w:spacing w:before="0" w:after="240"/>
    </w:pPr>
  </w:style>
  <w:style w:type="paragraph" w:customStyle="1" w:styleId="TT">
    <w:name w:val="TT"/>
    <w:basedOn w:val="Heading1"/>
    <w:next w:val="Normal"/>
    <w:rsid w:val="00F900BD"/>
    <w:pPr>
      <w:numPr>
        <w:numId w:val="0"/>
      </w:numPr>
      <w:ind w:left="1134" w:hanging="1134"/>
      <w:outlineLvl w:val="9"/>
    </w:pPr>
    <w:rPr>
      <w:rFonts w:cs="Times New Roman"/>
      <w:szCs w:val="20"/>
      <w:lang w:eastAsia="en-US"/>
    </w:rPr>
  </w:style>
  <w:style w:type="paragraph" w:customStyle="1" w:styleId="ZA">
    <w:name w:val="ZA"/>
    <w:rsid w:val="00F900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00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900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900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900BD"/>
  </w:style>
  <w:style w:type="paragraph" w:customStyle="1" w:styleId="ZH">
    <w:name w:val="ZH"/>
    <w:rsid w:val="00F900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900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900BD"/>
    <w:pPr>
      <w:framePr w:hRule="auto" w:wrap="notBeside" w:y="852"/>
    </w:pPr>
    <w:rPr>
      <w:i w:val="0"/>
      <w:sz w:val="40"/>
    </w:rPr>
  </w:style>
  <w:style w:type="paragraph" w:customStyle="1" w:styleId="ZU">
    <w:name w:val="ZU"/>
    <w:rsid w:val="00F900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900BD"/>
    <w:pPr>
      <w:framePr w:wrap="notBeside" w:y="16161"/>
    </w:pPr>
  </w:style>
  <w:style w:type="paragraph" w:customStyle="1" w:styleId="FP">
    <w:name w:val="FP"/>
    <w:basedOn w:val="Normal"/>
    <w:rsid w:val="00F900BD"/>
    <w:pPr>
      <w:spacing w:after="0"/>
      <w:jc w:val="left"/>
    </w:pPr>
    <w:rPr>
      <w:lang w:eastAsia="en-US"/>
    </w:rPr>
  </w:style>
  <w:style w:type="paragraph" w:customStyle="1" w:styleId="Observation">
    <w:name w:val="Observation"/>
    <w:basedOn w:val="Proposal"/>
    <w:qFormat/>
    <w:rsid w:val="00F900BD"/>
    <w:pPr>
      <w:numPr>
        <w:numId w:val="9"/>
      </w:numPr>
      <w:ind w:left="1701" w:hanging="1701"/>
    </w:pPr>
  </w:style>
  <w:style w:type="paragraph" w:styleId="TableofFigures">
    <w:name w:val="table of figures"/>
    <w:basedOn w:val="Normal"/>
    <w:next w:val="Normal"/>
    <w:uiPriority w:val="99"/>
    <w:rsid w:val="00F900BD"/>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character" w:customStyle="1" w:styleId="B3Char2">
    <w:name w:val="B3 Char2"/>
    <w:link w:val="B3"/>
    <w:rsid w:val="00102971"/>
    <w:rPr>
      <w:rFonts w:ascii="Arial" w:hAnsi="Arial"/>
      <w:lang w:val="en-GB"/>
    </w:rPr>
  </w:style>
  <w:style w:type="character" w:customStyle="1" w:styleId="TALCar">
    <w:name w:val="TAL Car"/>
    <w:link w:val="TAL"/>
    <w:locked/>
    <w:rsid w:val="00B15476"/>
    <w:rPr>
      <w:rFonts w:ascii="Arial" w:hAnsi="Arial"/>
      <w:sz w:val="18"/>
      <w:lang w:val="en-GB"/>
    </w:rPr>
  </w:style>
  <w:style w:type="character" w:customStyle="1" w:styleId="B5Char">
    <w:name w:val="B5 Char"/>
    <w:link w:val="B5"/>
    <w:locked/>
    <w:rsid w:val="006E6718"/>
    <w:rPr>
      <w:rFonts w:ascii="Arial" w:hAnsi="Arial"/>
      <w:lang w:val="en-GB"/>
    </w:rPr>
  </w:style>
  <w:style w:type="character" w:customStyle="1" w:styleId="B6Char">
    <w:name w:val="B6 Char"/>
    <w:link w:val="B6"/>
    <w:locked/>
    <w:rsid w:val="006E6718"/>
    <w:rPr>
      <w:rFonts w:ascii="Times New Roman" w:hAnsi="Times New Roman"/>
      <w:lang w:eastAsia="ja-JP"/>
    </w:rPr>
  </w:style>
  <w:style w:type="paragraph" w:customStyle="1" w:styleId="B6">
    <w:name w:val="B6"/>
    <w:basedOn w:val="B5"/>
    <w:link w:val="B6Char"/>
    <w:rsid w:val="006E6718"/>
    <w:pPr>
      <w:ind w:left="1985"/>
      <w:textAlignment w:val="auto"/>
    </w:pPr>
    <w:rPr>
      <w:rFonts w:ascii="Times New Roman" w:hAnsi="Times New Roman"/>
      <w:lang w:val="en-US" w:eastAsia="ja-JP"/>
    </w:rPr>
  </w:style>
  <w:style w:type="table" w:styleId="TableGrid">
    <w:name w:val="Table Grid"/>
    <w:basedOn w:val="TableNormal"/>
    <w:rsid w:val="00C83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BA3E1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ommentTextChar">
    <w:name w:val="Comment Text Char"/>
    <w:basedOn w:val="DefaultParagraphFont"/>
    <w:link w:val="CommentText"/>
    <w:semiHidden/>
    <w:rsid w:val="005E4A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284122098">
      <w:bodyDiv w:val="1"/>
      <w:marLeft w:val="0"/>
      <w:marRight w:val="0"/>
      <w:marTop w:val="0"/>
      <w:marBottom w:val="0"/>
      <w:divBdr>
        <w:top w:val="none" w:sz="0" w:space="0" w:color="auto"/>
        <w:left w:val="none" w:sz="0" w:space="0" w:color="auto"/>
        <w:bottom w:val="none" w:sz="0" w:space="0" w:color="auto"/>
        <w:right w:val="none" w:sz="0" w:space="0" w:color="auto"/>
      </w:divBdr>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392122222">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28552114">
      <w:bodyDiv w:val="1"/>
      <w:marLeft w:val="0"/>
      <w:marRight w:val="0"/>
      <w:marTop w:val="0"/>
      <w:marBottom w:val="0"/>
      <w:divBdr>
        <w:top w:val="none" w:sz="0" w:space="0" w:color="auto"/>
        <w:left w:val="none" w:sz="0" w:space="0" w:color="auto"/>
        <w:bottom w:val="none" w:sz="0" w:space="0" w:color="auto"/>
        <w:right w:val="none" w:sz="0" w:space="0" w:color="auto"/>
      </w:divBdr>
    </w:div>
    <w:div w:id="471213867">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04770369">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07882786">
      <w:bodyDiv w:val="1"/>
      <w:marLeft w:val="0"/>
      <w:marRight w:val="0"/>
      <w:marTop w:val="0"/>
      <w:marBottom w:val="0"/>
      <w:divBdr>
        <w:top w:val="none" w:sz="0" w:space="0" w:color="auto"/>
        <w:left w:val="none" w:sz="0" w:space="0" w:color="auto"/>
        <w:bottom w:val="none" w:sz="0" w:space="0" w:color="auto"/>
        <w:right w:val="none" w:sz="0" w:space="0" w:color="auto"/>
      </w:divBdr>
    </w:div>
    <w:div w:id="940139549">
      <w:bodyDiv w:val="1"/>
      <w:marLeft w:val="0"/>
      <w:marRight w:val="0"/>
      <w:marTop w:val="0"/>
      <w:marBottom w:val="0"/>
      <w:divBdr>
        <w:top w:val="none" w:sz="0" w:space="0" w:color="auto"/>
        <w:left w:val="none" w:sz="0" w:space="0" w:color="auto"/>
        <w:bottom w:val="none" w:sz="0" w:space="0" w:color="auto"/>
        <w:right w:val="none" w:sz="0" w:space="0" w:color="auto"/>
      </w:divBdr>
    </w:div>
    <w:div w:id="1001202325">
      <w:bodyDiv w:val="1"/>
      <w:marLeft w:val="0"/>
      <w:marRight w:val="0"/>
      <w:marTop w:val="0"/>
      <w:marBottom w:val="0"/>
      <w:divBdr>
        <w:top w:val="none" w:sz="0" w:space="0" w:color="auto"/>
        <w:left w:val="none" w:sz="0" w:space="0" w:color="auto"/>
        <w:bottom w:val="none" w:sz="0" w:space="0" w:color="auto"/>
        <w:right w:val="none" w:sz="0" w:space="0" w:color="auto"/>
      </w:divBdr>
    </w:div>
    <w:div w:id="1025057659">
      <w:bodyDiv w:val="1"/>
      <w:marLeft w:val="0"/>
      <w:marRight w:val="0"/>
      <w:marTop w:val="0"/>
      <w:marBottom w:val="0"/>
      <w:divBdr>
        <w:top w:val="none" w:sz="0" w:space="0" w:color="auto"/>
        <w:left w:val="none" w:sz="0" w:space="0" w:color="auto"/>
        <w:bottom w:val="none" w:sz="0" w:space="0" w:color="auto"/>
        <w:right w:val="none" w:sz="0" w:space="0" w:color="auto"/>
      </w:divBdr>
    </w:div>
    <w:div w:id="1058478513">
      <w:bodyDiv w:val="1"/>
      <w:marLeft w:val="0"/>
      <w:marRight w:val="0"/>
      <w:marTop w:val="0"/>
      <w:marBottom w:val="0"/>
      <w:divBdr>
        <w:top w:val="none" w:sz="0" w:space="0" w:color="auto"/>
        <w:left w:val="none" w:sz="0" w:space="0" w:color="auto"/>
        <w:bottom w:val="none" w:sz="0" w:space="0" w:color="auto"/>
        <w:right w:val="none" w:sz="0" w:space="0" w:color="auto"/>
      </w:divBdr>
    </w:div>
    <w:div w:id="1060326293">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08450880">
      <w:bodyDiv w:val="1"/>
      <w:marLeft w:val="0"/>
      <w:marRight w:val="0"/>
      <w:marTop w:val="0"/>
      <w:marBottom w:val="0"/>
      <w:divBdr>
        <w:top w:val="none" w:sz="0" w:space="0" w:color="auto"/>
        <w:left w:val="none" w:sz="0" w:space="0" w:color="auto"/>
        <w:bottom w:val="none" w:sz="0" w:space="0" w:color="auto"/>
        <w:right w:val="none" w:sz="0" w:space="0" w:color="auto"/>
      </w:divBdr>
    </w:div>
    <w:div w:id="136983426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587223706">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11138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5NUHHDQN7SK2-1-178417</_dlc_DocId>
    <TaxCatchAll xmlns="08b2df90-05d3-4030-90d4-c9feeb4a1cd9">
      <Value>10</Value>
      <Value>9</Value>
      <Value>8</Value>
      <Value>3</Value>
      <Value>1</Value>
    </TaxCatchAll>
    <_dlc_DocIdUrl xmlns="08b2df90-05d3-4030-90d4-c9feeb4a1cd9">
      <Url>https://ericoll.internal.ericsson.com/sites/star/_layouts/DocIdRedir.aspx?ID=5NUHHDQN7SK2-1-178417</Url>
      <Description>5NUHHDQN7SK2-1-178417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2.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3.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6.xml><?xml version="1.0" encoding="utf-8"?>
<ds:datastoreItem xmlns:ds="http://schemas.openxmlformats.org/officeDocument/2006/customXml" ds:itemID="{654D9B00-4219-473D-83B8-90F3D763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ERICSSON</cp:lastModifiedBy>
  <cp:revision>5</cp:revision>
  <cp:lastPrinted>2016-08-03T08:58:00Z</cp:lastPrinted>
  <dcterms:created xsi:type="dcterms:W3CDTF">2017-08-11T20:31:00Z</dcterms:created>
  <dcterms:modified xsi:type="dcterms:W3CDTF">2017-08-11T20:31:00Z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21421dda-e8c2-4536-a9a8-7f13d623d14f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